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đổi Giấy chứng nhận đăng ký đầu tư (BQL)</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Hồ sơ cấp đổi Giấy chứng nhận đăng ký đầu tư cho cơ Ban Quản lý.</w:t>
      </w:r>
    </w:p>
    <w:p>
      <w:pPr>
        <w:spacing w:after="0" w:before="0" w:lineRule="auto" w:line="276"/>
        <w:jc w:val="both"/>
      </w:pPr>
      <w:r>
        <w:rPr>
          <w:rFonts w:ascii="Times New Roman" w:hAnsi="Times New Roman" w:cs="Times New Roman" w:eastAsia="Times New Roman"/>
          <w:b w:val="false"/>
          <w:sz w:val="26"/>
        </w:rPr>
        <w:t>- Bước 2: Ban Quản lý cấp đổi Giấy chứng nhận đăng ký đầu tư cho nhà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Ban Quản lý cấp đổi Giấy chứng nhận đăng ký đầu tư cho nhà đầu tư trong thời hạn 03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 nhà nước.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Ban Quản lý cấp đổi Giấy chứng nhận đăng ký đầu tư cho nhà đầu tư trong thời hạn 03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đổi Giấy chứng nhận đăng ký đầu tư.</w:t>
            </w:r>
          </w:p>
        </w:tc>
        <w:tc>
          <w:p/>
          <w:p>
            <w:pPr>
              <w:spacing w:after="0" w:before="0" w:lineRule="auto" w:line="276"/>
              <w:jc w:val="left"/>
            </w:pPr>
            <w:r>
              <w:rPr>
                <w:rFonts w:ascii="Times New Roman" w:hAnsi="Times New Roman" w:cs="Times New Roman" w:eastAsia="Times New Roman"/>
                <w:b w:val="false"/>
                <w:sz w:val="26"/>
              </w:rPr>
              <w:t>Mẫu A.I.16.docx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đầu tư, Giấy chứng nhận ưu đãi đầu tư, Giấy chứng nhận đầu tư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khu kinh tế, khu chế xuất, khu công nghệ cao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(trường hợp đổi, cấp lại, hiệu đính) theo mẫu A.II.10 quy định tại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đầu tư có dự án đầu tư được cấp Giấy phép đầu tư, Giấy chứng nhận ưu đãi đầu tư, Giấy chứng nhận đầu tư hoặc giấy tờ có giá trị pháp lý tương đương trước ngày Luật Đầu tư có hiệu lực thi hành được chuyển sang hoạt động theo Giấy chứng nhận đăng ký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chấm dứt hoạt động, của dự án đầu tư, theo các điều kiện quy định, trong hợp đồng, điều lệ doanh nghiệp, hoặc hết thời hạn hoạt động của dự án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2026-05-19T15:06:17Z</dcterms:created>
  <dc:creator>Apache POI</dc:creator>
</cp:coreProperties>
</file>