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quyết định chấm dứt hoạt động của dự án đầu tư (trong trường hợp tự chấm dứt hoạt động) hoặc thông báo và nộp lại Giấy chứng nhận đăng ký đầu tư (trong trường hợp chấm dứt hoạt động của dự án đầu tư theo các điều kiện quy định trong hợp đồng, điều lệ doanh nghiệp) cho Ban Quản lý.</w:t>
      </w:r>
    </w:p>
    <w:p>
      <w:pPr>
        <w:spacing w:after="0" w:before="0" w:lineRule="auto" w:line="276"/>
        <w:jc w:val="both"/>
      </w:pPr>
      <w:r>
        <w:rPr>
          <w:rFonts w:ascii="Times New Roman" w:hAnsi="Times New Roman" w:cs="Times New Roman" w:eastAsia="Times New Roman"/>
          <w:b w:val="false"/>
          <w:sz w:val="26"/>
        </w:rPr>
        <w:t>- Bước 2: Ban Quản lý đầu tư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thông báo chấm dứt hoạt động của dự án đầu tư;</w:t>
            </w:r>
          </w:p>
        </w:tc>
        <w:tc>
          <w:p/>
          <w:p>
            <w:pPr>
              <w:spacing w:after="0" w:before="0" w:lineRule="auto" w:line="276"/>
              <w:jc w:val="left"/>
            </w:pPr>
            <w:r>
              <w:rPr>
                <w:rFonts w:ascii="Times New Roman" w:hAnsi="Times New Roman" w:cs="Times New Roman" w:eastAsia="Times New Roman"/>
                <w:b w:val="false"/>
                <w:sz w:val="26"/>
              </w:rPr>
              <w:t>A.I.15 Vb thong bao cham dut hd du an dau tu (Các điểm a, b và c khoản 1 Điều 48 Luật Đầu tư).docx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ghi nhận việc chấm dứt hoạt động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chấm dứt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chấm dứt hoạt động theo quy định tại điểm a khoản 1 Điều 48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của dự án đầu tư, trong trường hợp, nhà đầu tư tự quyết định,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2026-05-19T15:04:53Z</dcterms:created>
  <dc:creator>Apache POI</dc:creator>
</cp:coreProperties>
</file>