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chấm dứt hoạt động văn phòng điều hành của nhà đầu tư nước ngoài trong hợp đồng BCC (BQL)</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nước ngoài gửi hồ sơ thông báo cho Ban Quản lý  nơi đặt văn phòng điều hành.</w:t>
      </w:r>
    </w:p>
    <w:p>
      <w:pPr>
        <w:spacing w:after="0" w:before="0" w:lineRule="auto" w:line="276"/>
        <w:jc w:val="both"/>
      </w:pPr>
      <w:r>
        <w:rPr>
          <w:rFonts w:ascii="Times New Roman" w:hAnsi="Times New Roman" w:cs="Times New Roman" w:eastAsia="Times New Roman"/>
          <w:b w:val="false"/>
          <w:sz w:val="26"/>
        </w:rPr>
        <w:t>- Bước 2: Ban Quản lý quyết định thu hồi Giấy chứng nhận đăng ký hoạt động văn phòng điều hành.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07 ngày làm việc kể từ ngày có quyết định chấm dứt hoạt động của văn phòng điều hành, nhà đầu tư nước ngoài gửi hồ sơ thông báo cho Ban Quản lý nơi đặt văn phòng điều hành. Trong thời hạn 15 ngày kể từ ngày nhận được hồ sơ, Ban Quản lý quyết định thu hồi Giấy chứng nhận đăng ký hoạt động văn phòng điều hành.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trụ sở cơ quan hành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07 ngày làm việc kể từ ngày có quyết định chấm dứt hoạt động của văn phòng điều hành, nhà đầu tư nước ngoài gửi hồ sơ thông báo cho Ban Quản lý nơi đặt văn phòng điều hành. Trong thời hạn 15 ngày kể từ ngày nhận được hồ sơ, Ban Quản lý quyết định thu hồi Giấy chứng nhận đăng ký hoạt động văn phòng điều hành.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chấm dứt hoạt động của văn phòng điều hành trong trường hợp văn phòng điều hành chấm dứt hoạt động trước thời hạn;</w:t>
            </w:r>
          </w:p>
        </w:tc>
        <w:tc>
          <w:p/>
          <w:p>
            <w:pPr>
              <w:spacing w:after="0" w:before="0" w:lineRule="auto" w:line="276"/>
              <w:jc w:val="left"/>
            </w:pPr>
            <w:r>
              <w:rPr>
                <w:rFonts w:ascii="Times New Roman" w:hAnsi="Times New Roman" w:cs="Times New Roman" w:eastAsia="Times New Roman"/>
                <w:b w:val="false"/>
                <w:sz w:val="26"/>
              </w:rPr>
              <w:t>Mẫu A.I.10.docx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chủ nợ và số nợ đã thanh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người lao động, quyền và lợi ích của người lao động đã được giải quyết;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Xác nhận của cơ quan thuế về việc đã hoàn thành nghĩa vụ về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Xác nhận của cơ quan bảo hiểm xã hội về việc đã hoàn thành nghĩa vụ về bảo hiểm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hoạt động văn phòng điều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Người nước ngoài, 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Giấy chứng nhận đăng ký hoạt động của văn phòng điều hành theo Mẫu A.II.13 ban hành kèm theo Thông tư số 03/2021/TT-BKHĐT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đầu tư nước ngoài có yêu cầu chấm dứt hoạt động của văn phòng điều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chấm dứt, hoạt động, văn phòng điều hành, của nhà đầu tư nước ngoài, trong hợp đồng BCC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2026-05-19T14:59:11Z</dcterms:created>
  <dc:creator>Apache POI</dc:creator>
</cp:coreProperties>
</file>