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1.009771</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1474/QĐ-BTC</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ngừng hoạt động của dự án đối với dự án đầu tư thuộc thẩm quyền chấp thuận chủ trương đầu tư của UBND cấp tỉnh hoặc Ban Quản lý</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Đầu tư tại Việt nam</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Bước 1: Nhà đầu tư gửi thông báo cho Ban Quản lý</w:t>
      </w:r>
    </w:p>
    <w:p>
      <w:pPr>
        <w:spacing w:after="0" w:before="0" w:lineRule="auto" w:line="276"/>
        <w:jc w:val="both"/>
      </w:pPr>
      <w:r>
        <w:rPr>
          <w:rFonts w:ascii="Times New Roman" w:hAnsi="Times New Roman" w:cs="Times New Roman" w:eastAsia="Times New Roman"/>
          <w:b w:val="false"/>
          <w:sz w:val="26"/>
        </w:rPr>
        <w:t>- Bước 2: Ban Quản lý tiếp nhận và thông báo việc ngừng hoạt động của dự án đầu tư cho các cơ quan liên quan</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Trực tiếp tại trụ sở cơ quan hành chính.</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Trong thời hạn 05 ngày làm việc, Ban Quản lý tiếp nhận và thông báo việc ngừng hoạt động của dự án đầu tư cho các cơ quan liên quan.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Qua dịch vụ bưu chính công ích.</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Văn bản thông báo ngừng hoạt động của dự án đầu tư;</w:t>
            </w:r>
          </w:p>
        </w:tc>
        <w:tc>
          <w:p/>
          <w:p>
            <w:pPr>
              <w:spacing w:after="0" w:before="0" w:lineRule="auto" w:line="276"/>
              <w:jc w:val="left"/>
            </w:pPr>
            <w:r>
              <w:rPr>
                <w:rFonts w:ascii="Times New Roman" w:hAnsi="Times New Roman" w:cs="Times New Roman" w:eastAsia="Times New Roman"/>
                <w:b w:val="false"/>
                <w:sz w:val="26"/>
              </w:rPr>
              <w:t>A.I.13 Vb TB cua NDT vv ngung hd du an dau tu (Khoan 1 Đieu 47 Luat Dau tu).docx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nước ngoài, Doanh nghiệp, Doanh nghiệp có vốn đầu tư nước ngoài,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Ban quản lý</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Tại cơ quan hành chính nhà nước</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ngừng hoạt động dự án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31/2021/NĐ-CP</w:t>
            </w:r>
          </w:p>
        </w:tc>
        <w:tc>
          <w:p/>
          <w:p>
            <w:pPr>
              <w:spacing w:after="0" w:before="0" w:lineRule="auto" w:line="276"/>
              <w:jc w:val="left"/>
            </w:pPr>
            <w:r>
              <w:rPr>
                <w:rFonts w:ascii="Times New Roman" w:hAnsi="Times New Roman" w:cs="Times New Roman" w:eastAsia="Times New Roman"/>
                <w:b w:val="false"/>
                <w:sz w:val="26"/>
              </w:rPr>
              <w:t>Quy định chi tiết và hướng dẫn thi hành một số điều của Luật Đầu tư</w:t>
            </w:r>
          </w:p>
        </w:tc>
        <w:tc>
          <w:p/>
          <w:p>
            <w:pPr>
              <w:spacing w:after="0" w:before="0" w:lineRule="auto" w:line="276"/>
              <w:jc w:val="left"/>
            </w:pPr>
            <w:r>
              <w:rPr>
                <w:rFonts w:ascii="Times New Roman" w:hAnsi="Times New Roman" w:cs="Times New Roman" w:eastAsia="Times New Roman"/>
                <w:b w:val="false"/>
                <w:sz w:val="26"/>
              </w:rPr>
              <w:t>26-03-2021</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03/2021/TT-BKHĐT</w:t>
            </w:r>
          </w:p>
        </w:tc>
        <w:tc>
          <w:p/>
          <w:p>
            <w:pPr>
              <w:spacing w:after="0" w:before="0" w:lineRule="auto" w:line="276"/>
              <w:jc w:val="left"/>
            </w:pPr>
            <w:r>
              <w:rPr>
                <w:rFonts w:ascii="Times New Roman" w:hAnsi="Times New Roman" w:cs="Times New Roman" w:eastAsia="Times New Roman"/>
                <w:b w:val="false"/>
                <w:sz w:val="26"/>
              </w:rPr>
              <w:t>quy định về mẫu văn bản, báo cáo liên quan đến hoạt động đầu tư tại Việt Nam, đầu tư từ Việt Nam ra nước ngoài và xúc tiến đầu</w:t>
            </w:r>
          </w:p>
        </w:tc>
        <w:tc>
          <w:p/>
          <w:p>
            <w:pPr>
              <w:spacing w:after="0" w:before="0" w:lineRule="auto" w:line="276"/>
              <w:jc w:val="left"/>
            </w:pPr>
            <w:r>
              <w:rPr>
                <w:rFonts w:ascii="Times New Roman" w:hAnsi="Times New Roman" w:cs="Times New Roman" w:eastAsia="Times New Roman"/>
                <w:b w:val="false"/>
                <w:sz w:val="26"/>
              </w:rPr>
              <w:t>09-04-2021</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61/2020/QH14</w:t>
            </w:r>
          </w:p>
        </w:tc>
        <w:tc>
          <w:p/>
          <w:p>
            <w:pPr>
              <w:spacing w:after="0" w:before="0" w:lineRule="auto" w:line="276"/>
              <w:jc w:val="left"/>
            </w:pPr>
            <w:r>
              <w:rPr>
                <w:rFonts w:ascii="Times New Roman" w:hAnsi="Times New Roman" w:cs="Times New Roman" w:eastAsia="Times New Roman"/>
                <w:b w:val="false"/>
                <w:sz w:val="26"/>
              </w:rPr>
              <w:t>Luật Đầu tư</w:t>
            </w:r>
          </w:p>
        </w:tc>
        <w:tc>
          <w:p/>
          <w:p>
            <w:pPr>
              <w:spacing w:after="0" w:before="0" w:lineRule="auto" w:line="276"/>
              <w:jc w:val="left"/>
            </w:pPr>
            <w:r>
              <w:rPr>
                <w:rFonts w:ascii="Times New Roman" w:hAnsi="Times New Roman" w:cs="Times New Roman" w:eastAsia="Times New Roman"/>
                <w:b w:val="false"/>
                <w:sz w:val="26"/>
              </w:rPr>
              <w:t>17-06-2020</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25/2023/TT-BKHĐT</w:t>
            </w:r>
          </w:p>
        </w:tc>
        <w:tc>
          <w:p/>
          <w:p>
            <w:pPr>
              <w:spacing w:after="0" w:before="0" w:lineRule="auto" w:line="276"/>
              <w:jc w:val="left"/>
            </w:pPr>
            <w:r>
              <w:rPr>
                <w:rFonts w:ascii="Times New Roman" w:hAnsi="Times New Roman" w:cs="Times New Roman" w:eastAsia="Times New Roman"/>
                <w:b w:val="false"/>
                <w:sz w:val="26"/>
              </w:rPr>
              <w:t>Thông tư số 25/2023/TT-BKHĐT Sửa đổi, bổ sung một số Điều của Thông tư số 03/2021/TT-BKHĐT ngày 09 tháng 4 năm 2021 của Bộ trưởng Bộ Kế hoạch và Đầu tư quy định mẫu văn bản, báo cáo liên quan đến hoạt động đầu tư tại Việt Nam, đầu tư từ Việt Nam ra nước ngoài và xúc tiến đầu tư</w:t>
            </w:r>
          </w:p>
        </w:tc>
        <w:tc>
          <w:p/>
          <w:p>
            <w:pPr>
              <w:spacing w:after="0" w:before="0" w:lineRule="auto" w:line="276"/>
              <w:jc w:val="left"/>
            </w:pPr>
            <w:r>
              <w:rPr>
                <w:rFonts w:ascii="Times New Roman" w:hAnsi="Times New Roman" w:cs="Times New Roman" w:eastAsia="Times New Roman"/>
                <w:b w:val="false"/>
                <w:sz w:val="26"/>
              </w:rPr>
              <w:t>30-05-2023</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đầu tư ngừng hoạt động trong các trường hợp quy định tại các khoản 1 Điều 47 của Luật Đầu tư.
- Tổng thời gian ngừng hoạt động của dự án đầu tư không quá 12 tháng. Trường hợp ngừng hoạt động của dự án đầu tư theo bản án, quyết định của tòa án, phán quyết có hiệu lực của trọng tài hoặc theo quyết định của cơ quan quản lý nhà nước về đầu tư thì thời gian ngừng hoạt động của dự án đầu tư được xác định theo bản án, quyết định của tòa án, phán quyết trọng tài hoặc theo quyết định của cơ quan quản lý nhà nước về đầu tư. Trường hợp các văn bản này không xác định thời gian ngừng hoạt động của dự án đầu tư thì tổng thời gian ngừng không quá thời gian quy định tại khoản 2 Điều 56 Nghị định số 31/2021/NĐ-CP.</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Thủ tục, ngừng hoạt động, của dự án đầu tư</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2026-05-19T14:57:57Z</dcterms:created>
  <dc:creator>Apache POI</dc:creator>
</cp:coreProperties>
</file>