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1.009756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3154/QĐ-BTC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đăng ký đầu tư đối với dự án không thuộc diện chấp thuận chủ trương đầu tư (Ban Quản lý thực hiện)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Đầu tư tại Việt nam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Trường hợp cấp Giấy chứng nhận đăng ký đầu tư đối với dự án đầu tư không thuộc diện chấp thuận chủ trương đầu tư theo quy định tại Điều 36 Nghị định số 31/2021/NĐ-CP và thực hiện tại khu công nghiệp, khu chế xuất, khu công nghệ số tập trung, khu công nghệ cao, khu kinh tế:</w:t>
      </w:r>
    </w:p>
    <w:p>
      <w:pPr>
        <w:spacing w:after="0" w:before="0" w:lineRule="auto" w:line="276"/>
        <w:jc w:val="both"/>
      </w:pPr>
      <w:r>
        <w:rPr>
          <w:rFonts w:ascii="Times New Roman" w:hAnsi="Times New Roman" w:cs="Times New Roman" w:eastAsia="Times New Roman"/>
          <w:b w:val="false"/>
          <w:sz w:val="26"/>
        </w:rPr>
        <w:t>- Bước 1: Nhà đầu tư nộp 01 bộ hồ sơ cho Ban Quản lý khu công nghiệp, khu chế xuất, khu công nghệ cao, khu kinh tế.</w:t>
      </w:r>
    </w:p>
    <w:p>
      <w:pPr>
        <w:spacing w:after="0" w:before="0" w:lineRule="auto" w:line="276"/>
        <w:jc w:val="both"/>
      </w:pPr>
      <w:r>
        <w:rPr>
          <w:rFonts w:ascii="Times New Roman" w:hAnsi="Times New Roman" w:cs="Times New Roman" w:eastAsia="Times New Roman"/>
          <w:b w:val="false"/>
          <w:sz w:val="26"/>
        </w:rPr>
        <w:t>Trường hợp nộp trực tuyến trên Hệ thống thông tin quốc gia về đầu tư: Nhà đầu tư đăng ký tài khoản trên Hệ thống thông tin quốc gia về đầu tư; kê khai thông tin, tải văn bản điện tử đã được ký số trên Hệ thống thông tin quốc gia về đầu tư; hoàn thiện hồ sơ trên Hệ thống thông tin quốc gia về đầu tư (theo yêu cầu).</w:t>
      </w:r>
    </w:p>
    <w:p>
      <w:pPr>
        <w:spacing w:after="0" w:before="0" w:lineRule="auto" w:line="276"/>
        <w:jc w:val="both"/>
      </w:pPr>
      <w:r>
        <w:rPr>
          <w:rFonts w:ascii="Times New Roman" w:hAnsi="Times New Roman" w:cs="Times New Roman" w:eastAsia="Times New Roman"/>
          <w:b w:val="false"/>
          <w:sz w:val="26"/>
        </w:rPr>
        <w:t>- Bước 2: Trong thời hạn 10 ngày kể từ ngày nhận được hồ sơ hợp lệ, Ban Quản lý khu công nghiệp, khu chế xuất, khu công nghệ cao, khu kinh tế xem xét điều kiện, cấp Giấy chứng nhận đăng ký đầu tư.</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10 ngày kể từ ngày nhận được hồ sơ hợp lệ.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 Trực tiếp tại trụ sở cơ quan hành chính nhà nước.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10 ngày kể từ ngày nhận được hồ sơ hợp lệ.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 Trực tuyến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10 ngày kể từ ngày nhận được hồ sơ hợp lệ. </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Dich vụ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thực hiện dự án đầu tư, gồm cả cam kết chịu mọi chi phí, rủi ro nếu dự án không được chấp thuận;</w:t>
            </w:r>
          </w:p>
        </w:tc>
        <w:tc>
          <w:p/>
          <w:p>
            <w:pPr>
              <w:spacing w:after="0" w:before="0" w:lineRule="auto" w:line="276"/>
              <w:jc w:val="left"/>
            </w:pPr>
            <w:r>
              <w:rPr>
                <w:rFonts w:ascii="Times New Roman" w:hAnsi="Times New Roman" w:cs="Times New Roman" w:eastAsia="Times New Roman"/>
                <w:b w:val="false"/>
                <w:sz w:val="26"/>
              </w:rPr>
              <w:t>A.I.6vbdenghicapGCNdangkydautu.docx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về tư cách pháp lý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chứng minh năng lực tài chính của nhà đầu tư gồm ít nhất một trong các tài liệu sau: báo cáo tài chính 02 năm gần nhất của nhà đầu tư; cam kết hỗ trợ tài chính của công ty mẹ; cam kết hỗ trợ tài chính của tổ chức tài chính; bảo lãnh về năng lực tài chính của nhà đầu tư; tài liệu khác chứng minh năng lực tài chính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Đề xuất dự án đầu tư gồm các nội dung chủ yếu sau: nhà đầu tư hoặc hình thức lựa chọn nhà đầu tư, mục tiêu đầu tư, quy mô đầu tư, vốn đầu tư và phương án huy động vốn, địa điểm, thời hạn, tiến độ thực hiện, thông tin về hiện trạng sử dụng đất tại địa điểm thực hiện dự án và đề xuất nhu cầu sử dụng đất (nếu có), nhu cầu về lao động, đề xuất hưởng ưu đãi đầu tư, tác động, hiệu quả kinh tế - xã hội của dự án, đánh giá sơ bộ tác động môi trường (nếu có) theo quy định của pháp luật về bảo vệ môi trường; cơ chế, chính sách đặc biệt (nếu có).</w:t>
            </w:r>
          </w:p>
        </w:tc>
        <w:tc>
          <w:p/>
          <w:p>
            <w:pPr>
              <w:spacing w:after="0" w:before="0" w:lineRule="auto" w:line="276"/>
              <w:jc w:val="left"/>
            </w:pPr>
            <w:r>
              <w:rPr>
                <w:rFonts w:ascii="Times New Roman" w:hAnsi="Times New Roman" w:cs="Times New Roman" w:eastAsia="Times New Roman"/>
                <w:b w:val="false"/>
                <w:sz w:val="26"/>
              </w:rPr>
              <w:t>A.I.4.docx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pháp luật về xây dựng quy định lập báo cáo nghiên cứu tiền khả thi thì nhà đầu tư được nộp báo cáo nghiên cứu tiền khả thi thay cho đề xuất dự án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dự án đầu tư đã triển khai hoạt động, đề xuất dự án đầu  tư được thay bằng báo cáo tình hình thực hiện dự án đầu tư từ thời điểm triển khai đến thời điểm đề nghị cấp Giấy chứng nhận đăng ký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dự án đầu tư không  đề nghị Nhà nước giao đất, cho thuê  đất, cho phép chuyển mục đích sử dụng đất thì nộp bản sao giấy tờ về quyền sử dụng đất hoặc tài liệu khác xác định quyền sử dụng địa điểm để thực hiện dự án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Nội dung giải trình về công nghệ sử dụng trong dự án đầu tư đối với  dự án thuộc diện thẩm định, lấy ý kiến về công nghệ theo quy định của pháp luật về chuyển giao công nghệ;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BCC đối với dự án đầu tư theo hình thức hợp đồng BCC;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khác liên quan đến dự án đầu tư, yêu cầu về điều kiện, năng lực của nhà đầu tư theo quy định của pháp luật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quản lý khu công nghiệp, khu kinh tế, khu chế xuất, khu công nghệ cao các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cơ quan hành chính nhà nước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đầu tư ( cấp mới) theo mẫu A.II.8 quy định tại Thông tư số 03/2021/TT-BKHĐT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31/2021/NĐ-CP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Luật Đầu tư</w:t>
            </w:r>
          </w:p>
        </w:tc>
        <w:tc>
          <w:p/>
          <w:p>
            <w:pPr>
              <w:spacing w:after="0" w:before="0" w:lineRule="auto" w:line="276"/>
              <w:jc w:val="left"/>
            </w:pPr>
            <w:r>
              <w:rPr>
                <w:rFonts w:ascii="Times New Roman" w:hAnsi="Times New Roman" w:cs="Times New Roman" w:eastAsia="Times New Roman"/>
                <w:b w:val="false"/>
                <w:sz w:val="26"/>
              </w:rPr>
              <w:t>26-03-2021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03/2021/TT-BKHĐT</w:t>
            </w:r>
          </w:p>
        </w:tc>
        <w:tc>
          <w:p/>
          <w:p>
            <w:pPr>
              <w:spacing w:after="0" w:before="0" w:lineRule="auto" w:line="276"/>
              <w:jc w:val="left"/>
            </w:pPr>
            <w:r>
              <w:rPr>
                <w:rFonts w:ascii="Times New Roman" w:hAnsi="Times New Roman" w:cs="Times New Roman" w:eastAsia="Times New Roman"/>
                <w:b w:val="false"/>
                <w:sz w:val="26"/>
              </w:rPr>
              <w:t>quy định về mẫu văn bản, báo cáo liên quan đến hoạt động đầu tư tại Việt Nam, đầu tư từ Việt Nam ra nước ngoài và xúc tiến đầu</w:t>
            </w:r>
          </w:p>
        </w:tc>
        <w:tc>
          <w:p/>
          <w:p>
            <w:pPr>
              <w:spacing w:after="0" w:before="0" w:lineRule="auto" w:line="276"/>
              <w:jc w:val="left"/>
            </w:pPr>
            <w:r>
              <w:rPr>
                <w:rFonts w:ascii="Times New Roman" w:hAnsi="Times New Roman" w:cs="Times New Roman" w:eastAsia="Times New Roman"/>
                <w:b w:val="false"/>
                <w:sz w:val="26"/>
              </w:rPr>
              <w:t>09-04-2021</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61/2020/QH14</w:t>
            </w:r>
          </w:p>
        </w:tc>
        <w:tc>
          <w:p/>
          <w:p>
            <w:pPr>
              <w:spacing w:after="0" w:before="0" w:lineRule="auto" w:line="276"/>
              <w:jc w:val="left"/>
            </w:pPr>
            <w:r>
              <w:rPr>
                <w:rFonts w:ascii="Times New Roman" w:hAnsi="Times New Roman" w:cs="Times New Roman" w:eastAsia="Times New Roman"/>
                <w:b w:val="false"/>
                <w:sz w:val="26"/>
              </w:rPr>
              <w:t>Luật Đầu tư</w:t>
            </w:r>
          </w:p>
        </w:tc>
        <w:tc>
          <w:p/>
          <w:p>
            <w:pPr>
              <w:spacing w:after="0" w:before="0" w:lineRule="auto" w:line="276"/>
              <w:jc w:val="left"/>
            </w:pPr>
            <w:r>
              <w:rPr>
                <w:rFonts w:ascii="Times New Roman" w:hAnsi="Times New Roman" w:cs="Times New Roman" w:eastAsia="Times New Roman"/>
                <w:b w:val="false"/>
                <w:sz w:val="26"/>
              </w:rPr>
              <w:t>17-06-2020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25/2023/TT-BKHĐT</w:t>
            </w:r>
          </w:p>
        </w:tc>
        <w:tc>
          <w:p/>
          <w:p>
            <w:pPr>
              <w:spacing w:after="0" w:before="0" w:lineRule="auto" w:line="276"/>
              <w:jc w:val="left"/>
            </w:pPr>
            <w:r>
              <w:rPr>
                <w:rFonts w:ascii="Times New Roman" w:hAnsi="Times New Roman" w:cs="Times New Roman" w:eastAsia="Times New Roman"/>
                <w:b w:val="false"/>
                <w:sz w:val="26"/>
              </w:rPr>
              <w:t>Thông tư số 25/2023/TT-BKHĐT Sửa đổi, bổ sung một số Điều của Thông tư số 03/2021/TT-BKHĐT ngày 09 tháng 4 năm 2021 của Bộ trưởng Bộ Kế hoạch và Đầu tư quy định mẫu văn bản, báo cáo liên quan đến hoạt động đầu tư tại Việt Nam, đầu tư từ Việt Nam ra nước ngoài và xúc tiến đầu tư</w:t>
            </w:r>
          </w:p>
        </w:tc>
        <w:tc>
          <w:p/>
          <w:p>
            <w:pPr>
              <w:spacing w:after="0" w:before="0" w:lineRule="auto" w:line="276"/>
              <w:jc w:val="left"/>
            </w:pPr>
            <w:r>
              <w:rPr>
                <w:rFonts w:ascii="Times New Roman" w:hAnsi="Times New Roman" w:cs="Times New Roman" w:eastAsia="Times New Roman"/>
                <w:b w:val="false"/>
                <w:sz w:val="26"/>
              </w:rPr>
              <w:t>30-05-2023</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239/2025/NĐ-CP</w:t>
            </w:r>
          </w:p>
        </w:tc>
        <w:tc>
          <w:p/>
          <w:p>
            <w:pPr>
              <w:spacing w:after="0" w:before="0" w:lineRule="auto" w:line="276"/>
              <w:jc w:val="left"/>
            </w:pPr>
            <w:r>
              <w:rPr>
                <w:rFonts w:ascii="Times New Roman" w:hAnsi="Times New Roman" w:cs="Times New Roman" w:eastAsia="Times New Roman"/>
                <w:b w:val="false"/>
                <w:sz w:val="26"/>
              </w:rPr>
              <w:t>Nghị định số 239/2025/NĐ-CP của Chính phủ: Sửa đổi, bổ sung một số điều của Nghị định số 31/2021/NĐ-CP ngày 26 tháng 3 năm 2021 của Chính phủ quy định chi tiết và hướng dẫn thi hành một số điều của Luật Đầu tư</w:t>
            </w:r>
          </w:p>
        </w:tc>
        <w:tc>
          <w:p/>
          <w:p>
            <w:pPr>
              <w:spacing w:after="0" w:before="0" w:lineRule="auto" w:line="276"/>
              <w:jc w:val="left"/>
            </w:pPr>
            <w:r>
              <w:rPr>
                <w:rFonts w:ascii="Times New Roman" w:hAnsi="Times New Roman" w:cs="Times New Roman" w:eastAsia="Times New Roman"/>
                <w:b w:val="false"/>
                <w:sz w:val="26"/>
              </w:rPr>
              <w:t>03-09-2025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Dự án không thuộc diện chấp thuận chủ trương đầu tư;
- Không thuộc ngành, nghề cấm đầu tư kinh doanh theo quy định tại Điều 6 của Luật Đầu tư và điều ước quốc tế về đầu tư;
- Có địa điểm thực hiện dự án đầu tư được xác định trên cơ sở bản sao hợp lệ giấy tờ về quyền sử dụng đất hoặc bản sao hợp lệ thỏa thuận thuê địa điểm hoặc văn bản, tài liệu khác xác định quyền sử dụng địa điểm để thực hiện dự án đầu tư; 
- Dự án đầu tư phù hợp với các quy hoạch theo quy định tại khoản 7 Điều 31 Nghị định số 31/2021/NĐ-CP; 
- Đáp ứng điều kiện về suất đầu tư trên một diện tích đất do Ủy ban nhân dân cấp tỉnh quy định căn cứ vào điều kiện thực tế của địa phương và được Thường trực Hội đồng nhân dân tỉnh thông qua (nếu có), số lượng lao động sử dụng (nếu có);
- Đáp ứng điều kiện tiếp cận thị trường đối với nhà đầu tư nước ngoài.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cấp Giấy chứng nhận đăng ký đầu tư ,đối với dự án, không thuộc diện chấp thuận chủ trương đầu tư</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2026-05-19T14:58:02Z</dcterms:created>
  <dc:creator>Apache POI</dc:creator>
</cp:coreProperties>
</file>