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chấp thuận nhà đầu tư thuộc thẩm quyền của Ban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01 bộ hồ sơ và kèm theo bản điện tử của hồ sơ gửi cho Ban Quản lý khu công nghiệp, khu chế xuất, khu công nghệ cao, khu kinh tế.</w:t>
      </w:r>
    </w:p>
    <w:p>
      <w:pPr>
        <w:spacing w:after="0" w:before="0" w:lineRule="auto" w:line="276"/>
        <w:jc w:val="both"/>
      </w:pPr>
      <w:r>
        <w:rPr>
          <w:rFonts w:ascii="Times New Roman" w:hAnsi="Times New Roman" w:cs="Times New Roman" w:eastAsia="Times New Roman"/>
          <w:b w:val="false"/>
          <w:sz w:val="26"/>
        </w:rPr>
        <w:t>- Bước 2: Trong thời hạn 02 ngày kể từ ngày nhận được hồ sơ hợp lệ, Ban Quản lý khu công nghiệp, khu chế xuất, khu công nghệ cao, khu kinh tế gửi hồ sơ; báo cáo kết quả mời quan tâm (đối với nhà đầu tư quy định tại điểm b khoản 3 Điều 29 của Nghị định số 31/2021/NĐ-CP) để lấy ý kiến của cơ quan nhà nước tại địa phương có liên quan. 
Đối với dự án của nhà đầu tư nước ngoài, tổ chức kinh tế có vốn đầu tư nước ngoài thực hiện tại đảo, xã, phường, thị trấn biên giới và xã, phường, thị trấn ven biển; khu vực khác có ảnh hưởng đến quốc phòng, an ninh, Ban Quản lý khu công nghiệp, khu chế xuất, khu công nghệ cao, khu kinh tế lấy ý kiến của Bộ Chỉ huy quân sự cấp tỉnh, Công an cấp tỉnh về việc đáp ứng các điều kiện bảo đảm quốc phòng, an ninh;</w:t>
      </w:r>
    </w:p>
    <w:p>
      <w:pPr>
        <w:spacing w:after="0" w:before="0" w:lineRule="auto" w:line="276"/>
        <w:jc w:val="both"/>
      </w:pPr>
      <w:r>
        <w:rPr>
          <w:rFonts w:ascii="Times New Roman" w:hAnsi="Times New Roman" w:cs="Times New Roman" w:eastAsia="Times New Roman"/>
          <w:b w:val="false"/>
          <w:sz w:val="26"/>
        </w:rPr>
        <w:t>- Bước 3: Trong thời hạn 07 ngày kể từ ngày nhận được đề nghị của Ban Quản lý khu công nghiệp, khu chế xuất, khu công nghệ cao, khu kinh tế, cơ quan được lấy ý kiến có ý kiến về nội dung thuộc phạm vi quản lý nhà nước của mình, gửi Ban Quản lý khu công nghiệp, khu chế xuất, khu công nghệ cao, khu kinh tế.</w:t>
      </w:r>
    </w:p>
    <w:p>
      <w:pPr>
        <w:spacing w:after="0" w:before="0" w:lineRule="auto" w:line="276"/>
        <w:jc w:val="both"/>
      </w:pPr>
      <w:r>
        <w:rPr>
          <w:rFonts w:ascii="Times New Roman" w:hAnsi="Times New Roman" w:cs="Times New Roman" w:eastAsia="Times New Roman"/>
          <w:b w:val="false"/>
          <w:sz w:val="26"/>
        </w:rPr>
        <w:t>- Bước 4: Trong thời hạn 17 ngày kể từ ngày nhận được hồ sơ hợp lệ, Ban Quản lý khu công nghiệp, khu chế xuất, khu công nghệ cao, khu kinh tế tiếp nhận hồ sơ, lấy ý kiến thẩm định và chấp thuận nhà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17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17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17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đề nghị chấp thuận chủ trương đầu tư dự án đầu tư do nhà đầu tư đề xuất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chấp thuận nhà đầu tư;</w:t>
            </w:r>
          </w:p>
        </w:tc>
        <w:tc>
          <w:p/>
          <w:p>
            <w:pPr>
              <w:spacing w:after="0" w:before="0" w:lineRule="auto" w:line="276"/>
              <w:jc w:val="left"/>
            </w:pPr>
            <w:r>
              <w:rPr>
                <w:rFonts w:ascii="Times New Roman" w:hAnsi="Times New Roman" w:cs="Times New Roman" w:eastAsia="Times New Roman"/>
                <w:b w:val="false"/>
                <w:sz w:val="26"/>
              </w:rPr>
              <w:t>Mẫu A.I.5.docx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năng lực tài chính của nhà đầu tư gồm ít nhất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khác chứng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Nội dung giải trình về công nghệ sử dụng trong dự án đầu tư đối với dự án thuộc diện thẩm định, lấy ý kiến về công nghệ theo quy định của pháp luật về chuyển giao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khác liên quan đến dự án đầu tư, yêu cầu về điều kiện, năng lực của nhà đầu tư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bộ hồ sơ và kèm theo bản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công nghiệp, khu kinh tế, khu chế xuất, khu công nghệ cao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chấp thuận nhà đầu tư theo Mẫu A.II.5 ban hành kèm theo Thông tư số 03/2021/TT-BKHĐT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Bộ trưởng Bộ Kế hoạch và Đầu tư</w:t>
            </w:r>
          </w:p>
        </w:tc>
        <w:tc>
          <w:p/>
          <w:p>
            <w:pPr>
              <w:spacing w:after="0" w:before="0" w:lineRule="auto" w:line="276"/>
              <w:jc w:val="left"/>
            </w:pPr>
            <w:r>
              <w:rPr>
                <w:rFonts w:ascii="Times New Roman" w:hAnsi="Times New Roman" w:cs="Times New Roman" w:eastAsia="Times New Roman"/>
                <w:b w:val="false"/>
                <w:sz w:val="26"/>
              </w:rPr>
              <w:t>31-05-2023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19/2025/NĐ-CP</w:t>
            </w:r>
          </w:p>
        </w:tc>
        <w:tc>
          <w:p/>
          <w:p>
            <w:pPr>
              <w:spacing w:after="0" w:before="0" w:lineRule="auto" w:line="276"/>
              <w:jc w:val="left"/>
            </w:pPr>
            <w:r>
              <w:rPr>
                <w:rFonts w:ascii="Times New Roman" w:hAnsi="Times New Roman" w:cs="Times New Roman" w:eastAsia="Times New Roman"/>
                <w:b w:val="false"/>
                <w:sz w:val="26"/>
              </w:rPr>
              <w:t>Nghị định số 19/2025/NĐ-CP ngày 10/02/2025 của Chính phủ quy định chi tiết Luật Đầu tư về thủ tục đầu tư đặc biệt</w:t>
            </w:r>
          </w:p>
        </w:tc>
        <w:tc>
          <w:p/>
          <w:p>
            <w:pPr>
              <w:spacing w:after="0" w:before="0" w:lineRule="auto" w:line="276"/>
              <w:jc w:val="left"/>
            </w:pPr>
            <w:r>
              <w:rPr>
                <w:rFonts w:ascii="Times New Roman" w:hAnsi="Times New Roman" w:cs="Times New Roman" w:eastAsia="Times New Roman"/>
                <w:b w:val="false"/>
                <w:sz w:val="26"/>
              </w:rPr>
              <w:t>10-02-2025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57/2024/QH15</w:t>
            </w:r>
          </w:p>
        </w:tc>
        <w:tc>
          <w:p/>
          <w:p>
            <w:pPr>
              <w:spacing w:after="0" w:before="0" w:lineRule="auto" w:line="276"/>
              <w:jc w:val="left"/>
            </w:pPr>
            <w:r>
              <w:rPr>
                <w:rFonts w:ascii="Times New Roman" w:hAnsi="Times New Roman" w:cs="Times New Roman" w:eastAsia="Times New Roman"/>
                <w:b w:val="false"/>
                <w:sz w:val="26"/>
              </w:rPr>
              <w:t>Luật số 57/2024/QH15 của Quốc hội: Luật sửa đổi, bổ sung một số điều của Luật Quy hoạch, Luật Đầu tư, Luật Đầu tư theo phương thức đối tác công tư và Luật Đấu thầu</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239/2025/NĐ-CP</w:t>
            </w:r>
          </w:p>
        </w:tc>
        <w:tc>
          <w:p/>
          <w:p>
            <w:pPr>
              <w:spacing w:after="0" w:before="0" w:lineRule="auto" w:line="276"/>
              <w:jc w:val="left"/>
            </w:pPr>
            <w:r>
              <w:rPr>
                <w:rFonts w:ascii="Times New Roman" w:hAnsi="Times New Roman" w:cs="Times New Roman" w:eastAsia="Times New Roman"/>
                <w:b w:val="false"/>
                <w:sz w:val="26"/>
              </w:rPr>
              <w:t>Nghị định số 239/2025/NĐ-CP của Chính phủ: Sửa đổi, bổ sung một số điều của Nghị định số 31/2021/NĐ-CP ngày 26 tháng 3 năm 2021 của Chính phủ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thuộc một trong các trường hợp:
+ Đã tổ chức đấu giá quyền sử dụng đất 02 lần mà chỉ có một nhà đầu tư đăng ký tham gia hoặc có nhà đầu tư đề nghị thực hiện dự án sau khi tổ chức đấu giá 02 lần mà không có người tham gia theo quy định của Luật Đất đai;
+ Đã thực hiện thủ tục mời quan tâm nhưng chỉ có một nhà đầu tư đăng ký và đáp ứng điều kiện mời quan tâm hoặc nhiều nhà đầu tư đăng ký nhưng chỉ có một nhà đầu tư đáp ứng điều kiện mời quan tâm theo quy định của pháp luật về đấu thầu.
- Đáp ứng các yêu cầu:
+ Khả năng đáp ứng điều kiện giao đất, cho thuê đất đối với trường hợp giao đất, cho thuê đất không thông qua đấu giá quyền sử dụng đất, đấu thầu lựa chọn nhà đầu tư; khả năng đáp ứng điều kiện chuyển mục đích sử dụng đất đối với dự án có yêu cầu chuyển mục đích sử dụng đất;
+ Đánh giá việc đáp ứng điều kiện tiếp cận thị trường đối với nhà đầu tư nước ngoài (nếu có);
+ Các điều kiện khác đối với nhà đầu tư theo quy định của pháp luật có liên quan.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chấp thuận, nhà đầu tư, thuộc thẩm quyền, của Ban Quản lý</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2026-05-19T14:55:32Z</dcterms:created>
  <dc:creator>Apache POI</dc:creator>
</cp:coreProperties>
</file>