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1.009645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3532/QĐ-BTC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chấp thuận chủ trương đầu tư thuộc thẩm quyền của UBND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hoặc cơ quan nhà nước có thẩm quyền nộp 01 bộ hồ sơ và kèm theo bản điện tử của hồ sơ gửi cho Sở Tài chính hoặc Ban quản lý khu công nghiệp, khu chế xuất, khu công nghệ cao, khu kinh tế.
Đối với dự án đầu tư xây dựng và kinh doanh kết cấu hạ tầng khu công nghiệp, khu chế xuất, khu công nghệ số tập trung, nhà đầu tư hoặc cơ quan nhà nước có thẩm quyền nộp hồ sơ cho Ban quản lý khu công nghiệp, khu chế xuất, khu công nghệ cao, khu kinh tế hoặc Sở Tài chính trong trường hợp chưa thành lập Ban quản lý khu công nghiệp, khu chế xuất, khu công nghệ cao, khu kinh tế.</w:t>
      </w:r>
    </w:p>
    <w:p>
      <w:pPr>
        <w:spacing w:after="0" w:before="0" w:lineRule="auto" w:line="276"/>
        <w:jc w:val="both"/>
      </w:pPr>
      <w:r>
        <w:rPr>
          <w:rFonts w:ascii="Times New Roman" w:hAnsi="Times New Roman" w:cs="Times New Roman" w:eastAsia="Times New Roman"/>
          <w:b w:val="false"/>
          <w:sz w:val="26"/>
        </w:rPr>
        <w:t>- Bước 2: Trong thời hạn 02 ngày kể từ ngày nhận được hồ sơ hợp lệ, Sở Tài chính hoặc Ban quản lý khu công nghiệp, khu chế xuất, khu công nghệ cao, khu kinh tế gửi hồ sơ lấy ý kiến thẩm định của các sở, Ủy ban nhân dân cấp xã nơi dự kiến thực hiện dự án và các cơ quan tại địa phương có liên quan về nội dung thuộc phạm vi quản lý nhà nước của cơ quan đó. 
Đối với dự án của nhà đầu tư nước ngoài, tổ chức kinh tế có vốn đầu tư nước ngoài thực hiện tại đảo, xã, phường, thị trấn biên giới và xã, phường, thị trấn ven biển; khu vực khác có ảnh hưởng đến quốc phòng, an ninh, Sở Tài chính hoặc Ban quản lý khu công nghiệp, khu chế xuất, khu công nghệ cao, khu kinh tế lấy ý kiến của Bộ Chỉ huy quân sự cấp tỉnh, Công an cấp tỉnh về việc đáp ứng các điều kiện bảo đảm quốc phòng, an ninh.</w:t>
      </w:r>
    </w:p>
    <w:p>
      <w:pPr>
        <w:spacing w:after="0" w:before="0" w:lineRule="auto" w:line="276"/>
        <w:jc w:val="both"/>
      </w:pPr>
      <w:r>
        <w:rPr>
          <w:rFonts w:ascii="Times New Roman" w:hAnsi="Times New Roman" w:cs="Times New Roman" w:eastAsia="Times New Roman"/>
          <w:b w:val="false"/>
          <w:sz w:val="26"/>
        </w:rPr>
        <w:t>- Bước 3: Trong thời hạn 07 ngày kể từ ngày nhận được đề nghị của Sở Tài chính hoặc Ban quản lý khu công nghiệp, khu chế xuất, khu công nghệ cao, khu kinh tế, cơ quan được lấy ý kiến có ý kiến thẩm định về nội dung thuộc phạm vi quản lý nhà nước của mình, gửi Cơ quan đăng ký đầu tư.
Trường hợp dự án thuộc đối tượng phải thực hiện đánh giá sơ bộ tác động môi trường theo quy định của pháp luật về bảo vệ môi trường, cơ quan chuyên môn về bảo vệ môi trường cấp tỉnh thực hiện trách nhiệm quy định tại khoản này đối với nội dung đánh giá sơ bộ tác động môi trường.</w:t>
      </w:r>
    </w:p>
    <w:p>
      <w:pPr>
        <w:spacing w:after="0" w:before="0" w:lineRule="auto" w:line="276"/>
        <w:jc w:val="both"/>
      </w:pPr>
      <w:r>
        <w:rPr>
          <w:rFonts w:ascii="Times New Roman" w:hAnsi="Times New Roman" w:cs="Times New Roman" w:eastAsia="Times New Roman"/>
          <w:b w:val="false"/>
          <w:sz w:val="26"/>
        </w:rPr>
        <w:t>- Bước 4: Trong thời hạn 14 ngày kể từ ngày nhận được hồ sơ hợp lệ, Sở Tài chính hoặc Ban quản lý khu công nghiệp, khu chế xuất, khu công nghệ cao, khu kinh tế lập báo cáo thẩm định, trình Ủy ban nhân dân cấp tỉnh.</w:t>
      </w:r>
    </w:p>
    <w:p>
      <w:pPr>
        <w:spacing w:after="0" w:before="0" w:lineRule="auto" w:line="276"/>
        <w:jc w:val="both"/>
      </w:pPr>
      <w:r>
        <w:rPr>
          <w:rFonts w:ascii="Times New Roman" w:hAnsi="Times New Roman" w:cs="Times New Roman" w:eastAsia="Times New Roman"/>
          <w:b w:val="false"/>
          <w:sz w:val="26"/>
        </w:rPr>
        <w:t>- Bước 5: Trong thời hạn 03 ngày kể từ ngày nhận được hồ sơ và báo cáo thẩm định, Ủy ban nhân dân cấp tỉnh xem xét, chấp thuận chủ trương đầu tư</w:t>
      </w:r>
    </w:p>
    <w:p>
      <w:pPr>
        <w:shd w:val="clear" w:color="auto" w:fill="F2F6F9"/>
        <w:spacing w:after="0" w:before="120" w:lineRule="auto" w:line="276"/>
        <w:jc w:val="both"/>
      </w:pPr>
      <w:r>
        <w:rPr>
          <w:rFonts w:ascii="Times New Roman" w:hAnsi="Times New Roman" w:cs="Times New Roman" w:eastAsia="Times New Roman"/>
          <w:b w:val="true"/>
          <w:sz w:val="26"/>
        </w:rPr>
        <w:t>a2) Trình tự thực hiện đối với trường hợp nhà đầu tư nhận chuyển nhượng dự án đầu tư xây dựng thứ cấp trong khu đô thị theo quy định tại Điều 117a Nghị định số 31/2021/NĐ-CP có nhu cầu thực hiện thủ tục chấp thuận chủ trương đầu tư:</w:t>
      </w:r>
    </w:p>
    <w:p>
      <w:pPr>
        <w:spacing w:after="0" w:before="0" w:lineRule="auto" w:line="276"/>
        <w:jc w:val="both"/>
      </w:pPr>
      <w:r>
        <w:rPr>
          <w:rFonts w:ascii="Times New Roman" w:hAnsi="Times New Roman" w:cs="Times New Roman" w:eastAsia="Times New Roman"/>
          <w:b w:val="false"/>
          <w:sz w:val="26"/>
        </w:rPr>
        <w:t>- Bước 1: Nhà đầu tư nhận chuyển nhượng dự án nộp 01 bộ hồ sơ và kèm theo bản điện tử của hồ sơ gửi cho Sở Tài chính.</w:t>
      </w:r>
    </w:p>
    <w:p>
      <w:pPr>
        <w:spacing w:after="0" w:before="0" w:lineRule="auto" w:line="276"/>
        <w:jc w:val="both"/>
      </w:pPr>
      <w:r>
        <w:rPr>
          <w:rFonts w:ascii="Times New Roman" w:hAnsi="Times New Roman" w:cs="Times New Roman" w:eastAsia="Times New Roman"/>
          <w:b w:val="false"/>
          <w:sz w:val="26"/>
        </w:rPr>
        <w:t>- Bước 2: Trong thời hạn 14 ngày kể từ ngày nhận được hồ sơ hợp lệ, Sở Tài chính xem xét điều kiện chuyển nhượng dự án đầu tư để báo cáo Ủy ban nhân dân cấp tỉnh.</w:t>
      </w:r>
    </w:p>
    <w:p>
      <w:pPr>
        <w:spacing w:after="0" w:before="0" w:lineRule="auto" w:line="276"/>
        <w:jc w:val="both"/>
      </w:pPr>
      <w:r>
        <w:rPr>
          <w:rFonts w:ascii="Times New Roman" w:hAnsi="Times New Roman" w:cs="Times New Roman" w:eastAsia="Times New Roman"/>
          <w:b w:val="false"/>
          <w:sz w:val="26"/>
        </w:rPr>
        <w:t>- Bước 3: Trong thời hạn 03 ngày kể từ ngày nhận được báo cáo của Sở Tài chính, Uỷ ban nhân dân cấp tỉnh xem xét, chấp thuận chủ trương đầu tư đồng thời với chấp thuận nhà đầu tư cho nhà đầu tư nhận chuyển nhượng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17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17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17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Hồ sơ đề nghị chấp thuận chủ trương đầu tư dự án đầu tư do cơ quan nhà nước có thẩm quyền lập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chấp thuận chủ trương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xuất dự án đầu tư gồm các nội dung chủ yếu sau: mục tiêu đầu tư, quy mô đầu tư, vốn đầu tư, địa điểm, thời hạn, tiến độ thực hiện, tác động, hiệu quả kinh tế - xã hội của dự án; thông tin về hiện trạng sử dụng đất tại địa điểm thực hiện dự án, điều kiện thu hồi đất đối với dự án thuộc diện thu hồi đất, dự kiến nhu cầu sử dụng đất (nếu có); đánh giá sơ bộ tác động môi trường (nếu có) theo quy định của pháp luật về bảo vệ môi trường; dự kiến hình thức lựa chọn nhà đầu tư và điều kiện đối với nhà đầu tư (nếu có); cơ chế, chính sách đặc biệt (nếu có).</w:t>
            </w:r>
          </w:p>
        </w:tc>
        <w:tc>
          <w:p/>
          <w:p>
            <w:pPr>
              <w:spacing w:after="0" w:before="0" w:lineRule="auto" w:line="276"/>
              <w:jc w:val="left"/>
            </w:pPr>
            <w:r>
              <w:rPr>
                <w:rFonts w:ascii="Times New Roman" w:hAnsi="Times New Roman" w:cs="Times New Roman" w:eastAsia="Times New Roman"/>
                <w:b w:val="false"/>
                <w:sz w:val="26"/>
              </w:rPr>
              <w:t>A.I.2DexuatduandautuCQcothamquyenlap.docx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đề nghị chấp thuận chủ trương đầu tư dự án đầu tư do nhà đầu tư đề xuất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thực hiện dự án đầu tư, gồm cả cam kết chịu mọi chi phí, rủi ro nếu dự án không được chấp thuận;</w:t>
            </w:r>
          </w:p>
        </w:tc>
        <w:tc>
          <w:p/>
          <w:p>
            <w:pPr>
              <w:spacing w:after="0" w:before="0" w:lineRule="auto" w:line="276"/>
              <w:jc w:val="left"/>
            </w:pPr>
            <w:r>
              <w:rPr>
                <w:rFonts w:ascii="Times New Roman" w:hAnsi="Times New Roman" w:cs="Times New Roman" w:eastAsia="Times New Roman"/>
                <w:b w:val="false"/>
                <w:sz w:val="26"/>
              </w:rPr>
              <w:t>A.I.1vbdenghithuchienduandautu.docx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về tư cách pháp lý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năng lực tài chính của nhà đầu tư gồm ít nhất một trong các tài liệu sau: báo cáo tài chính 02 năm gần nhất của nhà đầu tư; cam kết hỗ trợ tài chính của công ty mẹ; cam kết hỗ trợ tài chính của tổ chức tài chính; bảo lãnh về năng lực tài chính của nhà đầu tư; tài liệu khác chứng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xuất dự án đầu tư gồm các nội dung chủ yếu sau: nhà đầu tư hoặc hình thức lựa chọn nhà đầu tư, mục tiêu đầu tư, quy mô đầu tư, vốn đầu tư và phương án huy động vốn, địa điểm, thời hạn, tiến độ thực hiện, thông tin về hiện trạng sử dụng đất tại địa điểm thực hiện dự án và đề xuất nhu cầu sử dụng đất (nếu có), nhu cầu về lao động, đề xuất hưởng ưu đãi đầu tư, tác động, hiệu quả kinh tế - xã hội của dự án, đánh giá sơ bộ tác động môi trường (nếu có) theo quy định của pháp luật về bảo vệ môi trường; cơ chế, chính sách đặc biệt (nếu có).</w:t>
            </w:r>
          </w:p>
        </w:tc>
        <w:tc>
          <w:p/>
          <w:p>
            <w:pPr>
              <w:spacing w:after="0" w:before="0" w:lineRule="auto" w:line="276"/>
              <w:jc w:val="left"/>
            </w:pPr>
            <w:r>
              <w:rPr>
                <w:rFonts w:ascii="Times New Roman" w:hAnsi="Times New Roman" w:cs="Times New Roman" w:eastAsia="Times New Roman"/>
                <w:b w:val="false"/>
                <w:sz w:val="26"/>
              </w:rPr>
              <w:t>A.I.3DexuatduandautuNDTdexuat.docx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dự án đầu tư xây dựng, đề xuất dự án đầu tư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Nội dung quy định tại điểm d khoản 1 hoặc điểm b khoản 2 Điều 33 Nghị định số 31/2021/NĐ-CP, dự kiến phân chia dự án thành phần (nếu có) đối với các dự án đầu tư xây dựng không thuộc trường hợp quy định tại điểm a khoản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Nội dung quy định tại điểm d khoản 1 hoặc điểm b khoản 2 Điều 33 Nghị định số 31/2021/NĐ-CP; thuyết minh việc đáp ứng mục tiêu, định hướng phát triển đô thị, chương trình, kế hoạch phát triển nhà ở; dự kiến phân chia dự án thành phần (nếu có); sơ bộ phương án phân kỳ đầu tư bảo đảm yêu cầu đồng bộ; sơ bộ cơ cấu sản phẩm nhà ở và việc dành quỹ đất phát triển nhà ở xã hội. Đối với dự án khu đô thị, trường hợp pháp luật về xây dựng quy định lập báo cáo nghiên cứu tiền khả thi, nhà đầu tư hoặc cơ quan nhà nước có thẩm quyền được nộp hoặc sử dụng báo cáo nghiên cứu tiền khả thi thay cho đề xuất dự án đầu tư, trong đó đề xuất sơ bộ phần hạ tầng đô thị mà nhà đầu tư giữ lại để đầu tư kinh doanh, phần hạ tầng đô thị mà nhà đầu tư có trách nhiệm bàn giao hoặc đề xuất bàn giao cho địa phương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pháp luật về xây dựng quy định lập báo cáo nghiên cứu tiền khả thi thì cơ quan nhà nước có thẩm quyền được sử dụng báo cáo nghiên cứu tiền khả thi thay cho đề xuất dự án đầu tư. - Tài liệu, giấy tờ giải trình đề xuất hình thức lựa chọn nhà đầu trong hai trường hợp nêu trên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đất đã được giải phóng mặt bằng (nếu có), tài liệu giải trình khác (nếu có) trong trường hợp đề xuất lựa chọn nhà đầu tư thông qua hình thức đấu giá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đất chưa được giải phóng mặt bằng (nếu có), tài liệu giải trình khác (nếu có) trong trường hợp đề xuất lựa chọn nhà đầu tư thông qua đấu thầu dự án có sử dụng đất. Trong trường hợp này, đề xuất dự án đầu tư xác định sơ bộ tổng chi phí thực hiện dự án được xác định trên cơ sở tổng mức đầu tư của dự án theo quy định của pháp luật về xây dựng, không bao gồm chi phí bồi thường, hỗ trợ, tái định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lệ Quyết định giao đất hoặc Quyết định cho thuê đất, hợp đồng cho thuê quyền sử dụng đất hoặc Giấy chứng nhận quyền sử dụng đất, Giấy chứng nhận quyền sở hữu nhà ở và quyền sử dụng đất ở, Giấy chứng nhận quyền sử dụng đất, quyền sở hữu nhà và tài sản khác gắn liền với đất trong trường hợp đề xuất chấp thuận chủ trương đầu tư đồng thời với chấp thuận nhà đầu tư đối với nhà đầu tư có quyền sử dụng đất theo quy định tại điểm a khoản 4 Điều 29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lệ văn bản của Ủy ban nhân dân cấp tỉnh chấp thuận việc thỏa thuận về nhận quyền sử dụng đất để thực hiện dự án đầu tư và bản sao hợp lệ các giấy tờ, văn bản khác thỏa thuận sử dụng địa điểm để thực hiện dự án đầu tư trong trường hợp đề xuất chấp thuận chủ trương đầu tư đồng thời với chấp thuận nhà đầu tư đối với nhà đầu tư nhận chuyển nhượng, nhận góp vốn, thuê quyền sử dụng đất nông nghiệp để thực hiện dự án đầu tư sản xuất, kinh doanh phi nông nghiệp theo quy định tại điểm b khoản 4 Điều 29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pháp luật về xây dựng quy định lập báo cáo nghiên cứu tiền khả thi thì nhà đầu tư được nộp báo cáo nghiên cứu tiền khả thi thay cho đề xuất dự án đầu tư.</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dự án đầu tư không đề nghị Nhà nước giao đất, cho thuê đất, cho phép chuyển mục đích sử dụng đất thì nộp bản sao giấy tờ về quyền sử dụng đất hoặc tài liệu khác xác định quyền sử dụng địa điểm để thực hiện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Nội dung giải trình về công nghệ sử dụng trong dự án đầu tư đối với dự án thuộc diện thẩm định, lấy ý kiến về công nghệ theo quy định của pháp luật về chuyển giao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BCC đối với dự án đầu tư theo hình thức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khác liên quan đến dự án đầu tư, yêu cầu về điều kiện, năng lực của nhà đầu tư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c2) Đối với trường hợp a2, thành phần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A.I.11.aVnbnnghiuchnhdnut.docx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thực hiện dự án đầu tư đến thời điểm chuyển nhượng dự án đầu tư.</w:t>
            </w:r>
          </w:p>
        </w:tc>
        <w:tc>
          <w:p/>
          <w:p>
            <w:pPr>
              <w:spacing w:after="0" w:before="0" w:lineRule="auto" w:line="276"/>
              <w:jc w:val="left"/>
            </w:pPr>
            <w:r>
              <w:rPr>
                <w:rFonts w:ascii="Times New Roman" w:hAnsi="Times New Roman" w:cs="Times New Roman" w:eastAsia="Times New Roman"/>
                <w:b w:val="false"/>
                <w:sz w:val="26"/>
              </w:rPr>
              <w:t>A.I.12Bocotnhhnhtrinkhaidnutnthiimiuchnh.docx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hoặc hợp đồng nguyên tắc về việc chuyển nhượng một phần hoặc toàn bộ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tài liệu về tư cách pháp lý của nhà đầu tư chuyển nhượng và nhận chuyển nhượng;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đồng BCC (đối với dự án đầu tư theo hình thức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một trong các tài liệu sau của nhà đầu tư nhận chuyển nhượng dự án đầu tư: báo cáo tài chính 02 năm gần nhất hoặc báo cáo kiểm toán vốn chủ sở hữu của nhà đầu tư, cam kết hỗ trợ tài chính của công ty mẹ, cam kết hỗ trợ tài chính của tổ chức tài chính, bảo lãnh về năng lực tài chính của nhà đầu tư, tài liệu thuyết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quyền sử dụng đất, văn bản/tài liệu về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chấp thuận chủ trương đầu tư đồng thời chấp thuận nhà đầu tư của Ủy ban nhân dân cấp tỉnh, Quyết định chấp thuận chủ trương đầu tư của Ủy ban nhân dân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Thông tư số 03/2021/TT-BKHĐT ngày 09/4/2021 của Bộ trưởng Bộ Kế hoạch và Đầu tư  về việc quy định mẫu văn bản, báo cáo liên quan đến hoạt động đầu tư tại Việt Nam, đầu tư từ Việt Nam ra nước ngoài và xúc tiến đầu tư;</w:t>
            </w:r>
          </w:p>
        </w:tc>
        <w:tc>
          <w:p/>
          <w:p>
            <w:pPr>
              <w:spacing w:after="0" w:before="0" w:lineRule="auto" w:line="276"/>
              <w:jc w:val="left"/>
            </w:pPr>
            <w:r>
              <w:rPr>
                <w:rFonts w:ascii="Times New Roman" w:hAnsi="Times New Roman" w:cs="Times New Roman" w:eastAsia="Times New Roman"/>
                <w:b w:val="false"/>
                <w:sz w:val="26"/>
              </w:rPr>
              <w:t>09-04-2021</w:t>
            </w:r>
          </w:p>
        </w:tc>
        <w:tc>
          <w:p/>
        </w:tc>
      </w:tr>
      <w:tr>
        <w:tc>
          <w:p/>
          <w:p>
            <w:pPr>
              <w:spacing w:after="0" w:before="0" w:lineRule="auto" w:line="276"/>
              <w:jc w:val="left"/>
            </w:pPr>
            <w:r>
              <w:rPr>
                <w:rFonts w:ascii="Times New Roman" w:hAnsi="Times New Roman" w:cs="Times New Roman" w:eastAsia="Times New Roman"/>
                <w:b w:val="false"/>
                <w:sz w:val="26"/>
              </w:rPr>
              <w:t>25/2023/TT-BKHĐT</w:t>
            </w:r>
          </w:p>
        </w:tc>
        <w:tc>
          <w:p/>
          <w:p>
            <w:pPr>
              <w:spacing w:after="0" w:before="0" w:lineRule="auto" w:line="276"/>
              <w:jc w:val="left"/>
            </w:pPr>
            <w:r>
              <w:rPr>
                <w:rFonts w:ascii="Times New Roman" w:hAnsi="Times New Roman" w:cs="Times New Roman" w:eastAsia="Times New Roman"/>
                <w:b w:val="false"/>
                <w:sz w:val="26"/>
              </w:rPr>
              <w:t>Thông tư số 25/2023/TT-BKHĐT Sửa đổi, bổ sung một số Điều của Thông tư số 03/2021/TT-BKHĐT ngày 09 tháng 4 năm 2021 của Bộ trưởng Bộ Kế hoạch và Đầu tư quy định mẫu văn bản, báo cáo liên quan đến hoạt động đầu tư tại Việt Nam, đầu tư từ Việt Nam ra nước ngoài và xúc tiến đầu tư</w:t>
            </w:r>
          </w:p>
        </w:tc>
        <w:tc>
          <w:p/>
          <w:p>
            <w:pPr>
              <w:spacing w:after="0" w:before="0" w:lineRule="auto" w:line="276"/>
              <w:jc w:val="left"/>
            </w:pPr>
            <w:r>
              <w:rPr>
                <w:rFonts w:ascii="Times New Roman" w:hAnsi="Times New Roman" w:cs="Times New Roman" w:eastAsia="Times New Roman"/>
                <w:b w:val="false"/>
                <w:sz w:val="26"/>
              </w:rPr>
              <w:t>30-05-2023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19/2025/NĐ-CP</w:t>
            </w:r>
          </w:p>
        </w:tc>
        <w:tc>
          <w:p/>
          <w:p>
            <w:pPr>
              <w:spacing w:after="0" w:before="0" w:lineRule="auto" w:line="276"/>
              <w:jc w:val="left"/>
            </w:pPr>
            <w:r>
              <w:rPr>
                <w:rFonts w:ascii="Times New Roman" w:hAnsi="Times New Roman" w:cs="Times New Roman" w:eastAsia="Times New Roman"/>
                <w:b w:val="false"/>
                <w:sz w:val="26"/>
              </w:rPr>
              <w:t>Nghị định số 19/2025/NĐ-CP ngày 10/02/2025 của Chính phủ quy định chi tiết Luật Đầu tư về thủ tục đầu tư đặc biệt</w:t>
            </w:r>
          </w:p>
        </w:tc>
        <w:tc>
          <w:p/>
          <w:p>
            <w:pPr>
              <w:spacing w:after="0" w:before="0" w:lineRule="auto" w:line="276"/>
              <w:jc w:val="left"/>
            </w:pPr>
            <w:r>
              <w:rPr>
                <w:rFonts w:ascii="Times New Roman" w:hAnsi="Times New Roman" w:cs="Times New Roman" w:eastAsia="Times New Roman"/>
                <w:b w:val="false"/>
                <w:sz w:val="26"/>
              </w:rPr>
              <w:t>10-02-2025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57/2024/QH15</w:t>
            </w:r>
          </w:p>
        </w:tc>
        <w:tc>
          <w:p/>
          <w:p>
            <w:pPr>
              <w:spacing w:after="0" w:before="0" w:lineRule="auto" w:line="276"/>
              <w:jc w:val="left"/>
            </w:pPr>
            <w:r>
              <w:rPr>
                <w:rFonts w:ascii="Times New Roman" w:hAnsi="Times New Roman" w:cs="Times New Roman" w:eastAsia="Times New Roman"/>
                <w:b w:val="false"/>
                <w:sz w:val="26"/>
              </w:rPr>
              <w:t>Luật số 57/2024/QH15 của Quốc hội: Luật sửa đổi, bổ sung một số điều của Luật Quy hoạch, Luật Đầu tư, Luật Đầu tư theo phương thức đối tác công tư và Luật Đấu thầu</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90/2025/QH15</w:t>
            </w:r>
          </w:p>
        </w:tc>
        <w:tc>
          <w:p/>
          <w:p>
            <w:pPr>
              <w:spacing w:after="0" w:before="0" w:lineRule="auto" w:line="276"/>
              <w:jc w:val="left"/>
            </w:pPr>
            <w:r>
              <w:rPr>
                <w:rFonts w:ascii="Times New Roman" w:hAnsi="Times New Roman" w:cs="Times New Roman" w:eastAsia="Times New Roman"/>
                <w:b w:val="false"/>
                <w:sz w:val="26"/>
              </w:rPr>
              <w:t>Trang chủ Luật số 90/2025/QH15 của Quốc hội: Luật sửa đổi, bổ sung một số điều của Luật Đấu thầu, Luật Đầu tư theo phương thức đối tác công tư, Luật Hải quan, Luật Thuế giá trị gia tăng, Luật Thuế xuất khẩu, thuế nhập khẩu, Luật Đầu tư, Luật Đầu tư công, Luật Quản lý, sử dụng tài sản công</w:t>
            </w:r>
          </w:p>
        </w:tc>
        <w:tc>
          <w:p/>
          <w:p>
            <w:pPr>
              <w:spacing w:after="0" w:before="0" w:lineRule="auto" w:line="276"/>
              <w:jc w:val="left"/>
            </w:pPr>
            <w:r>
              <w:rPr>
                <w:rFonts w:ascii="Times New Roman" w:hAnsi="Times New Roman" w:cs="Times New Roman" w:eastAsia="Times New Roman"/>
                <w:b w:val="false"/>
                <w:sz w:val="26"/>
              </w:rPr>
              <w:t>25-06-2025</w:t>
            </w:r>
          </w:p>
        </w:tc>
        <w:tc>
          <w:p/>
        </w:tc>
      </w:tr>
      <w:tr>
        <w:tc>
          <w:p/>
          <w:p>
            <w:pPr>
              <w:spacing w:after="0" w:before="0" w:lineRule="auto" w:line="276"/>
              <w:jc w:val="left"/>
            </w:pPr>
            <w:r>
              <w:rPr>
                <w:rFonts w:ascii="Times New Roman" w:hAnsi="Times New Roman" w:cs="Times New Roman" w:eastAsia="Times New Roman"/>
                <w:b w:val="false"/>
                <w:sz w:val="26"/>
              </w:rPr>
              <w:t>239/2025/NĐ-CP</w:t>
            </w:r>
          </w:p>
        </w:tc>
        <w:tc>
          <w:p/>
          <w:p>
            <w:pPr>
              <w:spacing w:after="0" w:before="0" w:lineRule="auto" w:line="276"/>
              <w:jc w:val="left"/>
            </w:pPr>
            <w:r>
              <w:rPr>
                <w:rFonts w:ascii="Times New Roman" w:hAnsi="Times New Roman" w:cs="Times New Roman" w:eastAsia="Times New Roman"/>
                <w:b w:val="false"/>
                <w:sz w:val="26"/>
              </w:rPr>
              <w:t>Nghị định số 239/2025/NĐ-CP của Chính phủ: Sửa đổi, bổ sung một số điều của Nghị định số 31/2021/NĐ-CP ngày 26 tháng 3 năm 2021 của Chính phủ 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03-09-2025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thuộc thẩm quyền chấp thuận chủ trương đầu tư của Uỷ ban nhân dân cấp tỉnh.
- Đáp ứng các yêu cầu:
+ Đánh giá sự phù hợp của dự án đầu tư với quy hoạch cấp quốc gia, quy hoạch vùng, quy hoạch tỉnh, quy hoạch đô thị và quy hoạch đơn vị hành chính - kinh tế đặc biệt (nếu có) có liên quan đến mục tiêu hoạt động và nội dung đề xuất dự án đầu tư. Khi đánh giá sự phù hợp của dự án đầu tư với quy hoạch cấp quốc gia, quy hoạch vùng, quy hoạch tỉnh, quy hoạch đô thị thì thực hiện đánh giá sự phù hợp của dự án với mục tiêu, định hướng phát triển, sắp xếp, phân bố không gian các hoạt động kinh tế xã hội theo nội dung, yêu cầu của các quy hoạch này. Đối với quy hoạch đô thị, nội dung thẩm định phải có đánh giá về sự phù hợp của dự án đầu tư với quy hoạch phân khu; trường hợp dự án được đề xuất tại khu vực không phải lập quy hoạch phân khu theo quy định của pháp luật về quy hoạch đô thị hoặc quy hoạch phân khu phải điều chỉnh và chưa được cấp có thẩm quyền phê duyệt thì đánh giá sự phù hợp của dự án đầu tư với quy hoạch chung;
+ Đánh giá nhu cầu sử dụng đất phù hợp với mục tiêu, quy mô, địa điểm, yêu cầu hoạt động của dự án;
+ Đánh giá sơ bộ về hiệu quả kinh tế - xã hội của dự án đầu tư; đánh giá sơ bộ tác động môi trường (nếu có) theo quy định của pháp luật về bảo vệ môi trường;
+ Đánh giá về ưu đãi đầu tư và điều kiện hưởng ưu đãi đầu tư (nếu có);
đ) Đánh giá về công nghệ sử dụng trong dự án đầu tư đối với dự án thuộc diện thẩm định hoặc lấy ý kiến về công nghệ theo quy định của pháp luật về chuyển giao công nghệ;  
+ Đánh giá về sự phù hợp của dự án đầu tư với mục tiêu, định hướng phát triển đô thị, chương trình, kế hoạch phát triển nhà ở; sơ bộ phương án phân kỳ đầu tư bảo đảm yêu cầu đồng bộ; sơ bộ cơ cấu sản phẩm nhà ở và việc dành quỹ đất phát triển nhà ở xã hội;
+ Đánh giá về sự phù hợp của dự án đầu tư với yêu cầu bảo vệ, phát huy giá trị của di sản văn hóa và các điều kiện theo quy định của pháp luật về di sản văn hóa;
+ Căn cứ pháp lý và điều kiện áp dụng hình thức lựa chọn nhà đầu tư theo quy định tại khoản 1 Điều 29 của Luật Đầu tư và Điều 29 của Nghị định số 31/2021/NĐ-CP. 
- Đối với trường hợp chấp thuận chủ trương đầu tư đồng thời chấp thuận nhà đầu tư thì cần đáp ứng các yêu cầu:
+ Đánh giá sự phù hợp của dự án đầu tư với quy hoạch cấp quốc gia, quy hoạch vùng, quy hoạch tỉnh, quy hoạch đô thị và quy hoạch đơn vị hành chính - kinh tế đặc biệt (nếu có) có liên quan đến mục tiêu hoạt động và nội dung đề xuất dự án đầu tư. Khi đánh giá sự phù hợp của dự án đầu tư với quy hoạch cấp quốc gia, quy hoạch vùng, quy hoạch tỉnh, quy hoạch đô thị thì thực hiện đánh giá sự phù hợp của dự án với mục tiêu, định hướng phát triển, sắp xếp, phân bố không gian các hoạt động kinh tế xã hội theo nội dung, yêu cầu của các quy hoạch này. Đối với quy hoạch đô thị, nội dung thẩm định phải có đánh giá về sự phù hợp của dự án đầu tư với quy hoạch phân khu; trường hợp dự án được đề xuất tại khu vực không phải lập quy hoạch phân khu theo quy định của pháp luật về quy hoạch đô thị hoặc quy hoạch phân khu phải điều chỉnh và chưa được cấp có thẩm quyền phê duyệt thì đánh giá sự phù hợp của dự án đầu tư với quy hoạch chung;
+ Đánh giá nhu cầu sử dụng đất phù hợp với mục tiêu, quy mô, địa điểm, yêu cầu hoạt động của dự án;
+ Đánh giá sơ bộ về hiệu quả kinh tế - xã hội của dự án đầu tư; đánh giá sơ bộ tác động môi trường (nếu có) theo quy định của pháp luật về bảo vệ môi trường;
+ Đánh giá về ưu đãi đầu tư và điều kiện hưởng ưu đãi đầu tư (nếu có);
đ) Đánh giá về công nghệ sử dụng trong dự án đầu tư đối với dự án thuộc diện thẩm định hoặc lấy ý kiến về công nghệ theo quy định của pháp luật về chuyển giao công nghệ;  
+ Đánh giá về sự phù hợp của dự án đầu tư với mục tiêu, định hướng phát triển đô thị, chương trình, kế hoạch phát triển nhà ở; sơ bộ phương án phân kỳ đầu tư bảo đảm yêu cầu đồng bộ; sơ bộ cơ cấu sản phẩm nhà ở và việc dành quỹ đất phát triển nhà ở xã hội;
+ Đánh giá về sự phù hợp của dự án đầu tư với yêu cầu bảo vệ, phát huy giá trị của di sản văn hóa và các điều kiện theo quy định của pháp luật về di sản văn hóa;
+ Khả năng đáp ứng điều kiện giao đất, cho thuê đất đối với trường hợp giao đất, cho thuê đất không thông qua đấu giá quyền sử dụng đất, đấu thầu lựa chọn nhà đầu tư; khả năng đáp ứng điều kiện chuyển mục đích sử dụng đất đối với dự án có yêu cầu chuyển mục đích sử dụng đất;
+ Đánh giá việc đáp ứng điều kiện tiếp cận thị trường đối với nhà đầu tư nước ngoài (nếu có);
+ Các điều kiện khác đối với nhà đầu tư theo quy định của pháp luật có liên quan;
+ Căn cứ pháp lý, điều kiện chấp thuận nhà đầu tư theo quy định tại khoản 1 Điều 29 của Luật Đầu tư và Điều 29 của Nghị định số 31/2021/NĐ-CP; 
+ Đánh giá việc đáp ứng điều kiện theo quy định của pháp luật về xây dựng, nhà ở, phát triển đô thị, kinh doanh bất động sản (đối với dự án đầu tư xây dựng nhà ở, khu đô thị, kinh doanh bất động sản).
l2) Yêu cầu, điều kiện thực hiện thủ tục đối với trường hợp a2:
- Dự án thứ cấp trong khu đô thị đã triển khai trước ngày 01 tháng 01 năm 2021;
- Đã được cấp Giấy chứng nhận quyền sử dụng đất và hoàn thành các nghĩa vụ tài chính về đất đai;
- Không có khả năng thực hiện hoặc không có nhu cầu tiếp tục thực hiện và không thuộc trường hợp bị chấm dứt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chấp thuận, chủ trương đầu tư, thuộc thẩm quyền, của UBND cấp tỉnh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2026-05-19T14:56:39Z</dcterms:created>
  <dc:creator>Apache POI</dc:creator>
</cp:coreProperties>
</file>