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Trước khi đưa công trình bến thủy nội địa vào khai thác, chủ bến thủy nội địa nộp hồ sơ đề nghị công bố hoạt động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
23.2. Cách thức thực hiện:
Nộp trực tiếp hoặc qua hệ thống bưu chính hoặc qua hệ thống dịch vụ công trực tuyến hoặc bằng các hình thức phù hợp khác.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t>Phí : 100000 Đồng</w:t>
              <w:t xml:space="preserve"> (Phí thẩm tra, thẩm định: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dự án đầu tư xây dựng bến thủy nội địa của cơ quan có thẩm quyền hoặc bản sao và xuất trình bản chính để đối chiếu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giấy tờ về sử dụng đất để xây dựng bến thủy nội địa hoặc bản sao và xuất trình bản chính để đối chiếu, trừ trường hợp là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công bố hoạt động bến thủy nội địa theo mẫu;</w:t>
            </w:r>
          </w:p>
        </w:tc>
        <w:tc>
          <w:p/>
          <w:p>
            <w:pPr>
              <w:spacing w:after="0" w:before="0" w:lineRule="auto" w:line="276"/>
              <w:jc w:val="left"/>
            </w:pPr>
            <w:r>
              <w:rPr>
                <w:rFonts w:ascii="Times New Roman" w:hAnsi="Times New Roman" w:cs="Times New Roman" w:eastAsia="Times New Roman"/>
                <w:b w:val="false"/>
                <w:sz w:val="26"/>
              </w:rPr>
              <w:t>22.docx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w:t>
            </w:r>
          </w:p>
        </w:tc>
        <w:tc>
          <w:p/>
          <w:p>
            <w:pPr>
              <w:spacing w:after="0" w:before="0" w:lineRule="auto" w:line="276"/>
              <w:jc w:val="left"/>
            </w:pPr>
            <w:r>
              <w:rPr>
                <w:rFonts w:ascii="Times New Roman" w:hAnsi="Times New Roman" w:cs="Times New Roman" w:eastAsia="Times New Roman"/>
                <w:b w:val="false"/>
                <w:sz w:val="26"/>
              </w:rPr>
              <w:t>08-11-2016</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2026-05-11T11:23:30Z</dcterms:created>
  <dc:creator>Apache POI</dc:creator>
</cp:coreProperties>
</file>