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1.001766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163/QĐ-BTP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khai tử có yếu tố nước ngoài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Hộ tịch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Nếu lựa chọn hình thức nộp hồ sơ trực tiếp, người yêu cầu đăng ký khai tử nộp hồ sơ đăng ký khai tử tại Trung tâm Phục vụ hành chính công có thẩm quyền; nộp lệ phí nếu thuộc trường hợp phải nộp lệ phí đăng ký khai tử; nộp phí cấp bản sao Trích lục khai tử nếu có yêu cầu cấp bản sao Trích lục khai tử. 
- Nếu lựa chọn hình thức nộp hồ sơ trực tuyến, người yêu cầu đăng ký khai tử truy cập Cổng dịch vụ công quốc gia hoặc Ứng dụng định danh quốc gia.
Người yêu cầu đăng ký khai tử trực tuyến cung cấp thông tin theo mẫu hộ tịch điện tử tương tác đăng ký khai tử , đính kèm bản chụp hoặc bản sao điện tử các giấy tờ, tài liệu theo quy định; nộp phí, lệ phí thông qua chức năng thanh toán trực tuyến hoặc bằng cách thức khác theo quy định pháp luật, hoàn tất việc nộp hồ sơ.
- Cán bộ tiếp nhận hồ sơ tại Trung tâm Phục vụ hành chính công có trách nhiệm kiểm tra tính chính xác, đầy đủ, thống nhất, hợp lệ của hồ sơ. 
(i) Trường hợp hồ sơ đầy đủ, hợp lệ thì tiếp nhận hồ sơ; nếu tiếp nhận hồ sơ sau 15 giờ thì có Phiếu hẹn, trả kết quả cho người yêu cầu trong ngày làm việc tiếp theo (nếu người yêu cầu nộp hồ sơ trực tiếp) hoặc gửi ngay Phiếu hẹn, trả kết quả qua thư điện tử hoặc gửi tin nhắn hẹn trả kết quả qua điện thoại di động cho người yêu cầu (nếu người yêu cầu nộp hồ sơ trực tuyến); chuyển hồ sơ để công chức tư pháp - hộ tịch xử lý; trường hợp tiếp nhận hồ sơ tại Trung tâm Phục vụ hành chính công cấp tỉnh, cán bộ tiếp nhận hồ sơ chuyển hồ sơ đến Ủy ban nhân dân cấp xã có thẩm quyền xử lý.
(ii) Trường hợp hồ sơ chưa đầy đủ, hợp lệ thì cán bộ tiếp nhận hồ sơ thông báo cho người yêu cầu bổ sung, hoàn thiện hồ sơ, nêu rõ loại giấy tờ, nội dung cần bổ sung để người yêu cầu bổ sung, hoàn thiện. Sau khi hồ sơ được bổ sung, thực hiện lại bước (i);
 (iii) Trường hợp người yêu cầu đăng ký khai tử không bổ sung, hoàn thiện được hồ sơ thì cán bộ tiếp nhận hồ sơ báo cáo Lãnh đạo Trung tâm Phục vụ hành chính công có thông báo từ chối giải quyết yêu cầu đăng ký khai tử.
- Công chức tư pháp - hộ tịch thẩm tra hồ sơ (thẩm tra tính thống nhất, hợp lệ của các thông tin trong hồ sơ, giấy tờ, tài liệu do người yêu cầu nộp, xuất trình hoặc đính kèm). 
+ Trường hợp hồ sơ cần bổ sung, hoàn thiện hoặc không đủ điều kiện giải quyết, phải từ chối thì công chức tư pháp - hộ tịch gửi thông báo về tình trạng hồ sơ tới Trung tâm Phục vụ hành chính công để thông báo cho người nộp hồ sơ – thực hiện lại bước (ii) hoặc (iii);
+ Trường hợp cần phải kiểm tra, xác minh làm rõ hoặc do nguyên nhân khác mà không thể trả kết quả đúng thời gian đã hẹn thì công chức tư pháp - hộ tịch lập Phiếu xin lỗi và hẹn lại ngày trả kết quả, trong đó nêu rõ lý do chậm trả kết quả và thời gian hẹn trả kết quả, chuyển Trung tâm Phục vụ hành chính công để trả cho người yêu cầu (nếu người yêu cầu nộp hồ sơ trực tiếp), hoặc gửi Phiếu xin lỗi và hẹn lại ngày trả kết quả qua thư điện tử hoặc gửi tin nhắn qua điện thoại di động cho người yêu cầu (nếu người yêu cầu nộp hồ sơ trực tuyến).
	+ Nếu thấy hồ sơ đầy đủ, hợp lệ, đúng quy định, trường hợp tiếp nhận hồ sơ đăng ký khai tử theo hình thức trực tiếp, thì công chức tư pháp - hộ tịch thực hiện ghi vào Sổ đăng ký khai tử, cập nhật thông tin đăng ký khai tử trên Phần mềm đăng ký, quản lý hộ tịch điện tử dùng chung. 
Trường hợp tiếp nhận hồ sơ đăng ký khai tử theo hình thức trực tuyến Công chức tư pháp - hộ tịch gửi lại biểu mẫu Trích lục khai tử điện tử với thông tin đầy đủ cho người yêu cầu qua thư điện tử hoặc thiết bị số. 
Người yêu cầu có trách nhiệm kiểm tra tính chính xác, đầy đủ của các thông tin trên biểu mẫu Trích lục khai tử điện tử và xác nhận (tối đa một ngày). 
Nếu người yêu cầu xác nhận thông tin đã thống nhất, đầy đủ hoặc không có phản hồi sau thời hạn một ngày thì công chức tư pháp - hộ tịch thực hiện ghi nội dung vào Sổ đăng ký khai tử, cập nhật thông tin đăng ký khai tử trên Phần mềm đăng ký, quản lý hộ tịch điện tử dùng chung. 
- Công chức tư pháp - hộ tịch in Trích lục khai tử, trình Lãnh đạo Ủy ban nhân dân cấp xã ký, chuyển Trung tâm Phục vụ hành chính công trả kết quả cho người yêu cầu.</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Ngay trong ngày tiếp nhận hồ sơ; trường hợp nhận hồ sơ sau 15 giờ mà không giải quyết được ngay thì trả kết quả trong ngày làm việc tiếp theo. Trường hợp cần xác minh thì thời hạn giải quyết không quá 03 ngày làm việc. </w:t>
            </w:r>
          </w:p>
        </w:tc>
        <w:tc>
          <w:p/>
          <w:p>
            <w:pPr>
              <w:spacing w:after="0" w:before="0" w:lineRule="auto" w:line="276"/>
              <w:jc w:val="left"/>
            </w:pPr>
            <w:r>
              <w:rPr>
                <w:rFonts w:ascii="Times New Roman" w:hAnsi="Times New Roman" w:cs="Times New Roman" w:eastAsia="Times New Roman"/>
                <w:b w:val="false"/>
                <w:sz w:val="26"/>
              </w:rPr>
              <w:t>Lệ phí :  Đồng</w:t>
              <w:t xml:space="preserve"> (Mức lệ phí cụ thể do Hội đồng nhân dân tỉnh, thành phố trực thuộc Trung ương quyết định. Miễn lệ phí cho người thuộc gia đình có công với cách mạng; người thuộc hộ nghèo; người khuyết tật. Phí cấp bản sao Trích lục khai tử (nếu có yêu cầu) thực hiện theo quy định tại Thông tư số 281/2016/TT-BTC ngày 14/11/2016 của Bộ Tài chính.)</w:t>
            </w:r>
          </w:p>
        </w:tc>
        <w:tc>
          <w:p/>
          <w:p>
            <w:pPr>
              <w:spacing w:after="0" w:before="0" w:lineRule="auto" w:line="276"/>
              <w:jc w:val="left"/>
            </w:pPr>
            <w:r>
              <w:rPr>
                <w:rFonts w:ascii="Times New Roman" w:hAnsi="Times New Roman" w:cs="Times New Roman" w:eastAsia="Times New Roman"/>
                <w:b w:val="false"/>
                <w:sz w:val="26"/>
              </w:rPr>
              <w:t>Người yêu cầu đăng ký khai tử trực tiếp thực hiện hoặc ủy quyền cho người khác thực hiện nộp hồ sơ trực tiếp tại Trung tâm Phục vụ hành chính công, gửi qua hệ thống bưu chính hoặc nộp hồ sơ trực tuyến tại Cổng dịch vụ công quốc gia (https://dichvucong.gov.vn) hoặc Ứng dụng định danh quốc gia.</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Ngay trong ngày tiếp nhận hồ sơ, trường hợp  nhận hồ sơ sau 15 giờ mà không giải quyết được ngay thì trả kết quả trong ngày làm việc tiếp theo. Trường hợp cần xác minh thì thời hạn giải quyết không quá 03 ngày làm việc. </w:t>
            </w:r>
          </w:p>
        </w:tc>
        <w:tc>
          <w:p/>
          <w:p>
            <w:pPr>
              <w:spacing w:after="0" w:before="0" w:lineRule="auto" w:line="276"/>
              <w:jc w:val="left"/>
            </w:pPr>
            <w:r>
              <w:rPr>
                <w:rFonts w:ascii="Times New Roman" w:hAnsi="Times New Roman" w:cs="Times New Roman" w:eastAsia="Times New Roman"/>
                <w:b w:val="false"/>
                <w:sz w:val="26"/>
              </w:rPr>
              <w:t>Lệ phí :  Đồng</w:t>
              <w:t xml:space="preserve"> (Mức lệ phí cụ thể do Hội đồng nhân dân tỉnh, thành phố trực thuộc Trung ương quyết định. Miễn lệ phí cho người thuộc gia đình có công với cách mạng; người thuộc hộ nghèo; người khuyết tật. Phí cấp bản sao Trích lục khai tử (nếu có yêu cầu) thực hiện theo quy định tại Thông tư số 281/2016/TT-BTC ngày 14/11/2016 của Bộ Tài chính.)</w:t>
            </w:r>
          </w:p>
        </w:tc>
        <w:tc>
          <w:p/>
          <w:p>
            <w:pPr>
              <w:spacing w:after="0" w:before="0" w:lineRule="auto" w:line="276"/>
              <w:jc w:val="left"/>
            </w:pPr>
            <w:r>
              <w:rPr>
                <w:rFonts w:ascii="Times New Roman" w:hAnsi="Times New Roman" w:cs="Times New Roman" w:eastAsia="Times New Roman"/>
                <w:b w:val="false"/>
                <w:sz w:val="26"/>
              </w:rPr>
              <w:t>Thủ tục này đủ điều kiện thực hiện dịch vụ công trực tuyến toàn trình.
Người yêu cầu đăng ký khai tử trực tiếp thực hiện hoặc ủy quyền cho người khác thực hiện nộp hồ sơ trực tiếp tại Trung tâm Phục vụ hành chính công, gửi qua hệ thống bưu chính hoặc nộp hồ sơ trực tuyến tại Cổng dịch vụ công quốc gia (https://dichvucong.gov.vn) hoặc Ứng dụng định danh quốc gia.</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Ngay trong ngày tiếp nhận hồ sơ, trường hợp  nhận hồ sơ sau 15 giờ mà không giải quyết được ngay thì trả kết quả trong ngày làm việc tiếp theo. Trường hợp cần xác minh thì thời hạn giải quyết không quá 03 ngày làm việc. </w:t>
            </w:r>
          </w:p>
        </w:tc>
        <w:tc>
          <w:p/>
          <w:p>
            <w:pPr>
              <w:spacing w:after="0" w:before="0" w:lineRule="auto" w:line="276"/>
              <w:jc w:val="left"/>
            </w:pPr>
            <w:r>
              <w:rPr>
                <w:rFonts w:ascii="Times New Roman" w:hAnsi="Times New Roman" w:cs="Times New Roman" w:eastAsia="Times New Roman"/>
                <w:b w:val="false"/>
                <w:sz w:val="26"/>
              </w:rPr>
              <w:t>Lệ phí :  Đồng</w:t>
              <w:t xml:space="preserve"> (Mức lệ phí cụ thể do Hội đồng nhân dân tỉnh, thành phố trực thuộc Trung ương quyết định. Miễn lệ phí cho người thuộc gia đình có công với cách mạng; người thuộc hộ nghèo; người khuyết tật. Phí cấp bản sao Trích lục khai tử (nếu có yêu cầu) thực hiện theo quy định tại Thông tư số 281/2016/TT-BTC ngày 14/11/2016 của Bộ Tài chính.)</w:t>
            </w:r>
          </w:p>
        </w:tc>
        <w:tc>
          <w:p/>
          <w:p>
            <w:pPr>
              <w:spacing w:after="0" w:before="0" w:lineRule="auto" w:line="276"/>
              <w:jc w:val="left"/>
            </w:pPr>
            <w:r>
              <w:rPr>
                <w:rFonts w:ascii="Times New Roman" w:hAnsi="Times New Roman" w:cs="Times New Roman" w:eastAsia="Times New Roman"/>
                <w:b w:val="false"/>
                <w:sz w:val="26"/>
              </w:rPr>
              <w:t>Người yêu cầu đăng ký khai tử trực tiếp thực hiện hoặc ủy quyền cho người khác thực hiện nộp hồ sơ trực tiếp tại Trung tâm Phục vụ hành chính công, gửi qua hệ thống bưu chính hoặc nộp hồ sơ trực tuyến tại Cổng dịch vụ công quốc gia (https://dichvucong.gov.vn) hoặc Ứng dụng định danh quốc gia.</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Giấy tờ phải nộp: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báo tử hoặc giấy tờ thay Giấy báo tử do cơ quan có thẩm quyền cấp. Trường hợp người yêu cầu đã nộp bản điện tử Giấy báo tử hoặc cơ quan đăng ký hộ tịch đã khai thác được dữ liệu điện tử có ký số của Giấy báo tử thì không phải nộp bản giấy.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tài liệu, chứng cứ do cơ quan, tổ chức có thẩm quyền cấp hoặc xác nhận hợp lệ chứng minh sự kiện chết đối với trường hợp đăng ký khai tử cho người chết đã lâu, không có Giấy báo tử hoặc giấy tờ thay thế Giấy báo tử.</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ủy quyền (được chứng thực) theo quy định của pháp luật trong trường hợp ủy quyền thực hiện việc đăng ký khai tử. Trường hợp người có trách nhiệm đăng ký khai tử ủy quyền cho người khác thực hiện việc đăng ký khai tử mà người được ủy quyền là ông, bà, cha, mẹ, con, vợ, chồng, anh, chị, em ruột của người ủy quyền thì văn bản ủy quyền không phải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Giấy tờ phải xuất trình: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tờ có giá trị chứng minh thông tin về cư trú trong trường hợp cơ quan đăng ký hộ tịch không thể khai thác được thông tin về nơi cư trú của công dân theo các phương thức quy định tại khoản 2 Điều 14 Nghị định số 104/2022/NĐ-CP ngày 21/12/2022 của Chính phủ. Trường hợp các thông tin về giấy tờ chứng minh nơi cư trú đã được khai thác từ Cơ sở dữ liệu quốc gia về dân cư bằng các phương thức này thì người có yêu cầu không phải xuất trình (theo hình thức trực tiếp) hoặc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Hộ chiếu/Thẻ căn cước công dân/Thẻ căn cước/Căn cước điện tử/Giấy chứng nhận căn cước hoặc các giấy tờ khác có dán ảnh và thông tin cá nhân do cơ quan có thẩm quyền cấp, còn giá trị sử dụng (sau đây gọi tắt là giấy tờ tùy thân) để chứng minh về nhân thân khi làm thủ tục trực tiếp tại cơ quan đăng ký hộ tịch.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Trường hợp giấy tờ tùy thân sử dụng là: Hộ chiếu, Thẻ căn cước, Căn cước công dân, Giấy chứng nhận căn cước thì người có yêu cầu đăng ký hộ tịch chỉ cần cung cấp thông tin số định danh cá nhân hoặc thông tin về giấy tờ (số, ngày/tháng/năm cấp), cơ quan đăng ký hộ tịch có trách nhiệm tra cứu thông tin thông qua kết nối với Cơ sở dữ liệu hộ tịch điện tử, Cơ sở dữ liệu quốc gia về dân cư hoặc cơ sở dữ liệu khác có liên quan để đối chiếu, khai thác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không khai thác được thông tin hoặc thông tin khai thác được không đầy đủ, không chính xác thì cơ quan đăng ký hộ tịch yêu cầu người đi đăng ký hộ tịch xuất trình bản chính giấy tờ để chứng minh, đồng thời đề nghị người đi đăng ký hộ tịch cập nhật, điều chỉnh thông tin trong các cơ sở dữ liệu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các thông tin cá nhân trong các giấy tờ này đã có trong Cơ sở dữ liệu quốc gia về dân cư, Cơ sở dữ liệu hộ tịch điện tử, được hệ thống điền tự động thì không phải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gửi hồ sơ qua hệ thống bưu chính thì phải gửi kèm theo bản sao có chứng thực các giấy tờ phải xuất trình nêu trên.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Lưu ý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Cá nhân có quyền lựa chọn thực hiện thủ tục hành chính về hộ tịch tại cơ quan đăng ký hộ tịch nơi cư trú; nơi cư trú của cá nhân được xác định theo quy định của pháp luật về cư trú. Trường hợp cá nhân lựa chọn thực hiện thủ tục hành chính về hộ tịch không phải tại Ủy ban nhân dân cấp xã nơi thường trú hoặc nơi tạm trú thì Ủy ban nhân dân cấp xã nơi tiếp nhận yêu cầu có trách nhiệm hỗ trợ người dân nộp hồ sơ đăng ký hộ tịch trực tuyến đến đúng cơ quan có thẩm quyền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nộp, xuất trình nếu người yêu cầu nộp hồ sơ theo hình thức trực tiếp: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yêu cầu đăng ký hộ tịch có thể nộp bản sao được chứng thực từ bản chính hoặc bản sao được cấp từ sổ gốc (sau đây gọi là bản sao) hoặc bản chụp kèm theo bản chính, bản điện tử các giấy tờ này, bao gồm cả giấy tờ được tích hợp, hiển thị trên Ứng dụng định danh điện tử (VneID).</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người yêu cầu nộp bản chụp kèm theo bản chính giấy tờ thì người tiếp nhận có trách nhiệm kiểm tra, đối chiếu bản chụp với bản chính và ký xác nhận, không được yêu cầu nộp bản sao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xuất trình khi đăng ký hộ tịch, người tiếp nhận có trách nhiệm kiểm tra, đối chiếu với thông tin trong tờ khai, chụp lại hoặc ghi lại thông tin để lưu trong hồ sơ và trả lại cho người xuất trình, không được yêu cầu nộp bản sao hoặc bản chụp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có trách nhiệm tiếp nhận đúng, đủ hồ sơ đăng ký hộ tịch theo quy định của pháp luật hộ tịch, không được yêu cầu người đăng ký hộ tịch nộp thêm giấy tờ mà pháp luật hộ tịch không quy định phải nộp .</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hồ sơ thực hiện khai thác thông tin trong CSDLQGVDC theo quy định pháp luật nếu người yêu cầu đăng ký hộ tịch đã cung cấp họ, chữ đệm, tên; ngày, tháng, năm sinh; số định danh cá nhân/thẻ căn cước công dân/thẻ căn cước/căn cước điện tử. Trường hợp các thông tin cần khai thác không có trong CSDLQGVDC thì đề nghị người yêu cầu kê khai đầy đủ.</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gửi kèm theo nếu người yêu cầu nộp hồ sơ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chụp các giấy tờ gửi kèm theo hồ sơ đăng ký khai tử trực tuyến phải bảo đảm rõ nét, đầy đủ, toàn vẹn về nội dung, là bản chụp bằng máy ảnh, điện thoại hoặc được chụp, được quét bằng thiết bị điện tử, từ giấy tờ được cấp hợp lệ, còn giá trị sử dụng.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giấy tờ, tài liệu phải gửi kèm trong hồ sơ đăng ký khai tử trực tuyến đã có bản sao điện tử hoặc đã có bản điện tử giấy tờ hộ tịch thì người yêu cầu được sử dụng bản điện tử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lựa chọn nhận kết quả tại Trung tâm Phục vụ hành chính công thì người yêu cầu đăng ký hộ tịch phải xuất trình giấy tờ tuỳ thân, nộp các giấy tờ là thành phần hồ sơ theo quy định; Trường hợp người yêu cầu đăng ký hộ tịch không lựa chọn nhận kết quả tại Trung tâm Phục vụ hành chính công thì người yêu cầu đăng ký hộ tịch nộp các giấy tờ là thành phần hồ sơ theo quy định trước khi nhận kết quả.</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không cung cấp được giấy tờ theo quy định hoặc giấy tờ nộp, xuất trình bị tẩy xóa, sửa chữa, làm giả thì cơ quan đăng ký hộ tịch có thẩm quyền hủy bỏ kết quả đăng ký hộ tịch.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do cơ quan có thẩm quyền của nước ngoài cấp, công chứng hoặc xác nhận để sử dụng cho việc đăng ký hộ tịch tại Việt Nam phải được hợp pháp hóa lãnh sự theo quy định của pháp luật, trừ trường hợp được miễn theo điều ước quốc tế mà Việt Nam là thành viên.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khai đăng ký khai tử theo mẫu (nếu nộp hồ sơ theo hình thức trực tiếp hoặc gửi hồ sơ qua hệ thống bưu chính).</w:t>
            </w:r>
          </w:p>
        </w:tc>
        <w:tc>
          <w:p/>
          <w:p>
            <w:pPr>
              <w:spacing w:after="0" w:before="0" w:lineRule="auto" w:line="276"/>
              <w:jc w:val="left"/>
            </w:pPr>
            <w:r>
              <w:rPr>
                <w:rFonts w:ascii="Times New Roman" w:hAnsi="Times New Roman" w:cs="Times New Roman" w:eastAsia="Times New Roman"/>
                <w:b w:val="false"/>
                <w:sz w:val="26"/>
              </w:rPr>
              <w:t>3.TKngkkhait.doc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Mẫu hộ tịch điện tử tương tác đăng ký khai tử (do người yêu cầu cung cấp thông tin theo hướng dẫn trên Cổng dịch vụ công, nếu người có yêu cầu lựa chọn nộp hồ sơ theo hình thức trực tuyến);</w:t>
            </w:r>
          </w:p>
        </w:tc>
        <w:tc>
          <w:p/>
          <w:p>
            <w:pPr>
              <w:spacing w:after="0" w:before="0" w:lineRule="auto" w:line="276"/>
              <w:jc w:val="left"/>
            </w:pPr>
            <w:r>
              <w:rPr>
                <w:rFonts w:ascii="Times New Roman" w:hAnsi="Times New Roman" w:cs="Times New Roman" w:eastAsia="Times New Roman"/>
                <w:b w:val="false"/>
                <w:sz w:val="26"/>
              </w:rPr>
              <w:t>3.DTTT-ngkkhait.doc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có yêu cầu đăng ký khai tử thực hiện việc nộp/xuất trình (theo hình thức trực tiếp) hoặc tải lên (theo hình thức trực tuyến) các giấy tờ sau :</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Trích lục khai tử</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60/2014/QH13</w:t>
            </w:r>
          </w:p>
        </w:tc>
        <w:tc>
          <w:p/>
          <w:p>
            <w:pPr>
              <w:spacing w:after="0" w:before="0" w:lineRule="auto" w:line="276"/>
              <w:jc w:val="left"/>
            </w:pPr>
            <w:r>
              <w:rPr>
                <w:rFonts w:ascii="Times New Roman" w:hAnsi="Times New Roman" w:cs="Times New Roman" w:eastAsia="Times New Roman"/>
                <w:b w:val="false"/>
                <w:sz w:val="26"/>
              </w:rPr>
              <w:t>Luật 60/2014/QH13</w:t>
            </w:r>
          </w:p>
        </w:tc>
        <w:tc>
          <w:p/>
          <w:p>
            <w:pPr>
              <w:spacing w:after="0" w:before="0" w:lineRule="auto" w:line="276"/>
              <w:jc w:val="left"/>
            </w:pPr>
            <w:r>
              <w:rPr>
                <w:rFonts w:ascii="Times New Roman" w:hAnsi="Times New Roman" w:cs="Times New Roman" w:eastAsia="Times New Roman"/>
                <w:b w:val="false"/>
                <w:sz w:val="26"/>
              </w:rPr>
              <w:t>20-11-2014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123/2015/NĐ-CP</w:t>
            </w:r>
          </w:p>
        </w:tc>
        <w:tc>
          <w:p/>
          <w:p>
            <w:pPr>
              <w:spacing w:after="0" w:before="0" w:lineRule="auto" w:line="276"/>
              <w:jc w:val="left"/>
            </w:pPr>
            <w:r>
              <w:rPr>
                <w:rFonts w:ascii="Times New Roman" w:hAnsi="Times New Roman" w:cs="Times New Roman" w:eastAsia="Times New Roman"/>
                <w:b w:val="false"/>
                <w:sz w:val="26"/>
              </w:rPr>
              <w:t>Nghị định 123/2015/NĐ-CP</w:t>
            </w:r>
          </w:p>
        </w:tc>
        <w:tc>
          <w:p/>
          <w:p>
            <w:pPr>
              <w:spacing w:after="0" w:before="0" w:lineRule="auto" w:line="276"/>
              <w:jc w:val="left"/>
            </w:pPr>
            <w:r>
              <w:rPr>
                <w:rFonts w:ascii="Times New Roman" w:hAnsi="Times New Roman" w:cs="Times New Roman" w:eastAsia="Times New Roman"/>
                <w:b w:val="false"/>
                <w:sz w:val="26"/>
              </w:rPr>
              <w:t>15-11-2015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 xml:space="preserve">Thông tư số 281/2016/TT-BTC </w:t>
            </w:r>
          </w:p>
        </w:tc>
        <w:tc>
          <w:p/>
          <w:p>
            <w:pPr>
              <w:spacing w:after="0" w:before="0" w:lineRule="auto" w:line="276"/>
              <w:jc w:val="left"/>
            </w:pPr>
            <w:r>
              <w:rPr>
                <w:rFonts w:ascii="Times New Roman" w:hAnsi="Times New Roman" w:cs="Times New Roman" w:eastAsia="Times New Roman"/>
                <w:b w:val="false"/>
                <w:sz w:val="26"/>
              </w:rPr>
              <w:t>quy định mức thu, chế độ thu, nộp, quản lý và sử dụng phí khai thác, sử dụng thông tin trong cơ sở dữ liệu hộ tịch, phí xác nhận có quốc tịch Việt Nam, phí xác nhận là người gốc Việt Nam, lệ phí quốc tịch</w:t>
            </w:r>
          </w:p>
        </w:tc>
        <w:tc>
          <w:p/>
          <w:p>
            <w:pPr>
              <w:spacing w:after="0" w:before="0" w:lineRule="auto" w:line="276"/>
              <w:jc w:val="left"/>
            </w:pPr>
            <w:r>
              <w:rPr>
                <w:rFonts w:ascii="Times New Roman" w:hAnsi="Times New Roman" w:cs="Times New Roman" w:eastAsia="Times New Roman"/>
                <w:b w:val="false"/>
                <w:sz w:val="26"/>
              </w:rPr>
              <w:t>14-11-2016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04/2020/TT-BTP</w:t>
            </w:r>
          </w:p>
        </w:tc>
        <w:tc>
          <w:p/>
          <w:p>
            <w:pPr>
              <w:spacing w:after="0" w:before="0" w:lineRule="auto" w:line="276"/>
              <w:jc w:val="left"/>
            </w:pPr>
            <w:r>
              <w:rPr>
                <w:rFonts w:ascii="Times New Roman" w:hAnsi="Times New Roman" w:cs="Times New Roman" w:eastAsia="Times New Roman"/>
                <w:b w:val="false"/>
                <w:sz w:val="26"/>
              </w:rPr>
              <w:t>Thông tư 04/2020/TT-BTP</w:t>
            </w:r>
          </w:p>
        </w:tc>
        <w:tc>
          <w:p/>
          <w:p>
            <w:pPr>
              <w:spacing w:after="0" w:before="0" w:lineRule="auto" w:line="276"/>
              <w:jc w:val="left"/>
            </w:pPr>
            <w:r>
              <w:rPr>
                <w:rFonts w:ascii="Times New Roman" w:hAnsi="Times New Roman" w:cs="Times New Roman" w:eastAsia="Times New Roman"/>
                <w:b w:val="false"/>
                <w:sz w:val="26"/>
              </w:rPr>
              <w:t>28-05-2020</w:t>
            </w:r>
          </w:p>
        </w:tc>
        <w:tc>
          <w:p/>
        </w:tc>
      </w:tr>
      <w:tr>
        <w:tc>
          <w:p/>
          <w:p>
            <w:pPr>
              <w:spacing w:after="0" w:before="0" w:lineRule="auto" w:line="276"/>
              <w:jc w:val="left"/>
            </w:pPr>
            <w:r>
              <w:rPr>
                <w:rFonts w:ascii="Times New Roman" w:hAnsi="Times New Roman" w:cs="Times New Roman" w:eastAsia="Times New Roman"/>
                <w:b w:val="false"/>
                <w:sz w:val="26"/>
              </w:rPr>
              <w:t>85/2019/TT-BTC</w:t>
            </w:r>
          </w:p>
        </w:tc>
        <w:tc>
          <w:p/>
          <w:p>
            <w:pPr>
              <w:spacing w:after="0" w:before="0" w:lineRule="auto" w:line="276"/>
              <w:jc w:val="left"/>
            </w:pPr>
            <w:r>
              <w:rPr>
                <w:rFonts w:ascii="Times New Roman" w:hAnsi="Times New Roman" w:cs="Times New Roman" w:eastAsia="Times New Roman"/>
                <w:b w:val="false"/>
                <w:sz w:val="26"/>
              </w:rPr>
              <w:t>Thông tư 85/2019/TT-BTC</w:t>
            </w:r>
          </w:p>
        </w:tc>
        <w:tc>
          <w:p/>
          <w:p>
            <w:pPr>
              <w:spacing w:after="0" w:before="0" w:lineRule="auto" w:line="276"/>
              <w:jc w:val="left"/>
            </w:pPr>
            <w:r>
              <w:rPr>
                <w:rFonts w:ascii="Times New Roman" w:hAnsi="Times New Roman" w:cs="Times New Roman" w:eastAsia="Times New Roman"/>
                <w:b w:val="false"/>
                <w:sz w:val="26"/>
              </w:rPr>
              <w:t>29-11-2019</w:t>
            </w:r>
          </w:p>
        </w:tc>
        <w:tc>
          <w:p/>
        </w:tc>
      </w:tr>
      <w:tr>
        <w:tc>
          <w:p/>
          <w:p>
            <w:pPr>
              <w:spacing w:after="0" w:before="0" w:lineRule="auto" w:line="276"/>
              <w:jc w:val="left"/>
            </w:pPr>
            <w:r>
              <w:rPr>
                <w:rFonts w:ascii="Times New Roman" w:hAnsi="Times New Roman" w:cs="Times New Roman" w:eastAsia="Times New Roman"/>
                <w:b w:val="false"/>
                <w:sz w:val="26"/>
              </w:rPr>
              <w:t>01/2022/TT-BTP</w:t>
            </w:r>
          </w:p>
        </w:tc>
        <w:tc>
          <w:p/>
          <w:p>
            <w:pPr>
              <w:spacing w:after="0" w:before="0" w:lineRule="auto" w:line="276"/>
              <w:jc w:val="left"/>
            </w:pPr>
            <w:r>
              <w:rPr>
                <w:rFonts w:ascii="Times New Roman" w:hAnsi="Times New Roman" w:cs="Times New Roman" w:eastAsia="Times New Roman"/>
                <w:b w:val="false"/>
                <w:sz w:val="26"/>
              </w:rPr>
              <w:t>Thông tư sửa đổi</w:t>
            </w:r>
          </w:p>
        </w:tc>
        <w:tc>
          <w:p/>
          <w:p>
            <w:pPr>
              <w:spacing w:after="0" w:before="0" w:lineRule="auto" w:line="276"/>
              <w:jc w:val="left"/>
            </w:pPr>
            <w:r>
              <w:rPr>
                <w:rFonts w:ascii="Times New Roman" w:hAnsi="Times New Roman" w:cs="Times New Roman" w:eastAsia="Times New Roman"/>
                <w:b w:val="false"/>
                <w:sz w:val="26"/>
              </w:rPr>
              <w:t>04-01-2022</w:t>
            </w:r>
          </w:p>
        </w:tc>
        <w:tc>
          <w:p/>
        </w:tc>
      </w:tr>
      <w:tr>
        <w:tc>
          <w:p/>
          <w:p>
            <w:pPr>
              <w:spacing w:after="0" w:before="0" w:lineRule="auto" w:line="276"/>
              <w:jc w:val="left"/>
            </w:pPr>
            <w:r>
              <w:rPr>
                <w:rFonts w:ascii="Times New Roman" w:hAnsi="Times New Roman" w:cs="Times New Roman" w:eastAsia="Times New Roman"/>
                <w:b w:val="false"/>
                <w:sz w:val="26"/>
              </w:rPr>
              <w:t>106/2021/TT-BTC</w:t>
            </w:r>
          </w:p>
        </w:tc>
        <w:tc>
          <w:p/>
          <w:p>
            <w:pPr>
              <w:spacing w:after="0" w:before="0" w:lineRule="auto" w:line="276"/>
              <w:jc w:val="left"/>
            </w:pPr>
            <w:r>
              <w:rPr>
                <w:rFonts w:ascii="Times New Roman" w:hAnsi="Times New Roman" w:cs="Times New Roman" w:eastAsia="Times New Roman"/>
                <w:b w:val="false"/>
                <w:sz w:val="26"/>
              </w:rPr>
              <w:t>Thông tư 106/2021/TT-BTC</w:t>
            </w:r>
          </w:p>
        </w:tc>
        <w:tc>
          <w:p/>
          <w:p>
            <w:pPr>
              <w:spacing w:after="0" w:before="0" w:lineRule="auto" w:line="276"/>
              <w:jc w:val="left"/>
            </w:pPr>
            <w:r>
              <w:rPr>
                <w:rFonts w:ascii="Times New Roman" w:hAnsi="Times New Roman" w:cs="Times New Roman" w:eastAsia="Times New Roman"/>
                <w:b w:val="false"/>
                <w:sz w:val="26"/>
              </w:rPr>
              <w:t>26-11-2021</w:t>
            </w:r>
          </w:p>
        </w:tc>
        <w:tc>
          <w:p/>
        </w:tc>
      </w:tr>
      <w:tr>
        <w:tc>
          <w:p/>
          <w:p>
            <w:pPr>
              <w:spacing w:after="0" w:before="0" w:lineRule="auto" w:line="276"/>
              <w:jc w:val="left"/>
            </w:pPr>
            <w:r>
              <w:rPr>
                <w:rFonts w:ascii="Times New Roman" w:hAnsi="Times New Roman" w:cs="Times New Roman" w:eastAsia="Times New Roman"/>
                <w:b w:val="false"/>
                <w:sz w:val="26"/>
              </w:rPr>
              <w:t>87/2020/NĐ-CP</w:t>
            </w:r>
          </w:p>
        </w:tc>
        <w:tc>
          <w:p/>
          <w:p>
            <w:pPr>
              <w:spacing w:after="0" w:before="0" w:lineRule="auto" w:line="276"/>
              <w:jc w:val="left"/>
            </w:pPr>
            <w:r>
              <w:rPr>
                <w:rFonts w:ascii="Times New Roman" w:hAnsi="Times New Roman" w:cs="Times New Roman" w:eastAsia="Times New Roman"/>
                <w:b w:val="false"/>
                <w:sz w:val="26"/>
              </w:rPr>
              <w:t>Nghị định 87/2020/NĐ-CP</w:t>
            </w:r>
          </w:p>
        </w:tc>
        <w:tc>
          <w:p/>
          <w:p>
            <w:pPr>
              <w:spacing w:after="0" w:before="0" w:lineRule="auto" w:line="276"/>
              <w:jc w:val="left"/>
            </w:pPr>
            <w:r>
              <w:rPr>
                <w:rFonts w:ascii="Times New Roman" w:hAnsi="Times New Roman" w:cs="Times New Roman" w:eastAsia="Times New Roman"/>
                <w:b w:val="false"/>
                <w:sz w:val="26"/>
              </w:rPr>
              <w:t>28-07-2020</w:t>
            </w:r>
          </w:p>
        </w:tc>
        <w:tc>
          <w:p/>
        </w:tc>
      </w:tr>
      <w:tr>
        <w:tc>
          <w:p/>
          <w:p>
            <w:pPr>
              <w:spacing w:after="0" w:before="0" w:lineRule="auto" w:line="276"/>
              <w:jc w:val="left"/>
            </w:pPr>
            <w:r>
              <w:rPr>
                <w:rFonts w:ascii="Times New Roman" w:hAnsi="Times New Roman" w:cs="Times New Roman" w:eastAsia="Times New Roman"/>
                <w:b w:val="false"/>
                <w:sz w:val="26"/>
              </w:rPr>
              <w:t>104/2022/NĐ-CP</w:t>
            </w:r>
          </w:p>
        </w:tc>
        <w:tc>
          <w:p/>
          <w:p>
            <w:pPr>
              <w:spacing w:after="0" w:before="0" w:lineRule="auto" w:line="276"/>
              <w:jc w:val="left"/>
            </w:pPr>
            <w:r>
              <w:rPr>
                <w:rFonts w:ascii="Times New Roman" w:hAnsi="Times New Roman" w:cs="Times New Roman" w:eastAsia="Times New Roman"/>
                <w:b w:val="false"/>
                <w:sz w:val="26"/>
              </w:rPr>
              <w:t>Nghị định sửa đổi, bổ sung một số điều của các nghị định liên quan đến việc nộp, xuất trình sổ hộ khẩu, sổ tạm trú giấy khi thực hiện thủ tục hành chính, cung cấp dịch vụ công</w:t>
            </w:r>
          </w:p>
        </w:tc>
        <w:tc>
          <w:p/>
          <w:p>
            <w:pPr>
              <w:spacing w:after="0" w:before="0" w:lineRule="auto" w:line="276"/>
              <w:jc w:val="left"/>
            </w:pPr>
            <w:r>
              <w:rPr>
                <w:rFonts w:ascii="Times New Roman" w:hAnsi="Times New Roman" w:cs="Times New Roman" w:eastAsia="Times New Roman"/>
                <w:b w:val="false"/>
                <w:sz w:val="26"/>
              </w:rPr>
              <w:t>21-12-2022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Thông tư số 03/2023/TT-BTP</w:t>
            </w:r>
          </w:p>
        </w:tc>
        <w:tc>
          <w:p/>
          <w:p>
            <w:pPr>
              <w:spacing w:after="0" w:before="0" w:lineRule="auto" w:line="276"/>
              <w:jc w:val="left"/>
            </w:pPr>
            <w:r>
              <w:rPr>
                <w:rFonts w:ascii="Times New Roman" w:hAnsi="Times New Roman" w:cs="Times New Roman" w:eastAsia="Times New Roman"/>
                <w:b w:val="false"/>
                <w:sz w:val="26"/>
              </w:rPr>
              <w:t>Thông tư số 03/2023/TT-BTP ngày 02/8/2023 của Bộ trưởng Bộ Tư pháp</w:t>
            </w:r>
          </w:p>
        </w:tc>
        <w:tc>
          <w:p/>
          <w:p>
            <w:pPr>
              <w:spacing w:after="0" w:before="0" w:lineRule="auto" w:line="276"/>
              <w:jc w:val="left"/>
            </w:pPr>
            <w:r>
              <w:rPr>
                <w:rFonts w:ascii="Times New Roman" w:hAnsi="Times New Roman" w:cs="Times New Roman" w:eastAsia="Times New Roman"/>
                <w:b w:val="false"/>
                <w:sz w:val="26"/>
              </w:rPr>
              <w:t>02-08-2023</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04/2024/TT-BTP</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02/2020/TT-BTP ngày 08/4/2020 của Bộ trưởng Bộ Tư pháp ban hành, hướng dẫn sử dụng, quản lý mẫu sổ quốc tịch và mẫu giấy tờ về quốc tịch và Thông tư số 04/2020/TT-BTP ngày 28/5/2020 của Bộ trưởng Bộ Tư pháp quy định chi tiết thi hành một số điều của Luật Hộ tịch và Nghị định  số 123/2015/NĐ-CP ngày 15/11/2015 của Chính phủ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06-06-2024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120/2025/NĐ-CP</w:t>
            </w:r>
          </w:p>
        </w:tc>
        <w:tc>
          <w:p/>
          <w:p>
            <w:pPr>
              <w:spacing w:after="0" w:before="0" w:lineRule="auto" w:line="276"/>
              <w:jc w:val="left"/>
            </w:pPr>
            <w:r>
              <w:rPr>
                <w:rFonts w:ascii="Times New Roman" w:hAnsi="Times New Roman" w:cs="Times New Roman" w:eastAsia="Times New Roman"/>
                <w:b w:val="false"/>
                <w:sz w:val="26"/>
              </w:rPr>
              <w:t>Nghị định số 120/2025/NĐ-CP ngày 11/6/2025 của Chính phủ quy định về phân định thẩm quyền của chính quyền địa phương 02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08/2025/TT-BTP</w:t>
            </w:r>
          </w:p>
        </w:tc>
        <w:tc>
          <w:p/>
          <w:p>
            <w:pPr>
              <w:spacing w:after="0" w:before="0" w:lineRule="auto" w:line="276"/>
              <w:jc w:val="left"/>
            </w:pPr>
            <w:r>
              <w:rPr>
                <w:rFonts w:ascii="Times New Roman" w:hAnsi="Times New Roman" w:cs="Times New Roman" w:eastAsia="Times New Roman"/>
                <w:b w:val="false"/>
                <w:sz w:val="26"/>
              </w:rPr>
              <w:t>Thông tư số 08/2025/TT-BTP ngày 12/6/2025 của Bộ trưởng Bộ Tư pháp quy định về phân định thẩm quyền của chính quyền địa phương 02 cấp và phân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12-06-2025</w:t>
            </w:r>
          </w:p>
        </w:tc>
        <w:tc>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15-11-2025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18/2026/NĐ-CP</w:t>
            </w:r>
          </w:p>
        </w:tc>
        <w:tc>
          <w:p/>
          <w:p>
            <w:pPr>
              <w:spacing w:after="0" w:before="0" w:lineRule="auto" w:line="276"/>
              <w:jc w:val="left"/>
            </w:pPr>
            <w:r>
              <w:rPr>
                <w:rFonts w:ascii="Times New Roman" w:hAnsi="Times New Roman" w:cs="Times New Roman" w:eastAsia="Times New Roman"/>
                <w:b w:val="false"/>
                <w:sz w:val="26"/>
              </w:rPr>
              <w:t>Sửa đổi, bổ sung một số nghị định để cắt giảm, đơn giản hóa thủ tục hành chính, điều kiện kinh doanh thuộc phạm vi quản lý của Bộ Tư pháp</w:t>
            </w:r>
          </w:p>
        </w:tc>
        <w:tc>
          <w:p/>
          <w:p>
            <w:pPr>
              <w:spacing w:after="0" w:before="0" w:lineRule="auto" w:line="276"/>
              <w:jc w:val="left"/>
            </w:pPr>
            <w:r>
              <w:rPr>
                <w:rFonts w:ascii="Times New Roman" w:hAnsi="Times New Roman" w:cs="Times New Roman" w:eastAsia="Times New Roman"/>
                <w:b w:val="false"/>
                <w:sz w:val="26"/>
              </w:rPr>
              <w:t>14-01-2026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2026-05-11T11:23:56Z</dcterms:created>
  <dc:creator>Apache POI</dc:creator>
</cp:coreProperties>
</file>