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phục vụ hành chính công tỉnh Điện Biên hoặc Trung tâm phục vụ hành chính công của UBND cấp xã có thẩm quyền;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đăng ký tài khoản (nếu chưa có tài khoản), xác thực người dùng theo hướng dẫn, đăng nhập vào hệ thống, lựa chọn UBND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Trung tâm Phục vụ hành chính công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Lãnh đạo Trung tâm Phục vụ hành chính công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Trung tâm Phục vụ hành chính công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Trung tâm Phục vụ hành chính công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8.000 đồng/bản sao </w:t>
              <w:t xml:space="preserve"> (bản sao trích lục/sự kiện hộ tích đã được đăng ký)</w:t>
            </w:r>
          </w:p>
          <w:p>
            <w:pPr>
              <w:spacing w:after="0" w:before="0" w:lineRule="auto" w:line="276"/>
              <w:jc w:val="left"/>
            </w:pPr>
            <w:r>
              <w:rPr>
                <w:rFonts w:ascii="Times New Roman" w:hAnsi="Times New Roman" w:cs="Times New Roman" w:eastAsia="Times New Roman"/>
                <w:b w:val="false"/>
                <w:sz w:val="26"/>
              </w:rPr>
              <w:t xml:space="preserve">Lệ phí : 75.000 đồng/ lần.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2026-05-09T06:43:49Z</dcterms:created>
  <dc:creator>Apache POI</dc:creator>
</cp:coreProperties>
</file>