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1.008922.000.00.00.H18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nhiệm Thừa phát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Thừa phát lại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bổ nhiệm Thừa phát lại lập 01 bộ hồ sơ gửi trực tiếp hoặc qua dịch vụ bưu chính trực tuyến trên Cổng dịch vụ công quốc gia Trung tâm Phục vụ hành chính công tỉnh Điện Biên</w:t>
      </w:r>
    </w:p>
    <w:p>
      <w:pPr>
        <w:spacing w:after="0" w:before="0" w:lineRule="auto" w:line="276"/>
        <w:jc w:val="both"/>
      </w:pPr>
      <w:r>
        <w:rPr>
          <w:rFonts w:ascii="Times New Roman" w:hAnsi="Times New Roman" w:cs="Times New Roman" w:eastAsia="Times New Roman"/>
          <w:b w:val="false"/>
          <w:sz w:val="26"/>
        </w:rPr>
        <w:t>- Kể từ ngày nhận đủ hồ sơ hợp lệ, Sở Tư pháp có văn bản đề nghị Chủ tịch Ủy ban nhân dân cấp tỉnh bổ nhiệm Thừa phát lại kèm theo hồ sơ đề nghị bổ nhiệm; trường hợp từ chối đề nghị phải thông báo bằng văn bản và nêu rõ lý do.</w:t>
      </w:r>
    </w:p>
    <w:p>
      <w:pPr>
        <w:spacing w:after="0" w:before="0" w:lineRule="auto" w:line="276"/>
        <w:jc w:val="both"/>
      </w:pPr>
      <w:r>
        <w:rPr>
          <w:rFonts w:ascii="Times New Roman" w:hAnsi="Times New Roman" w:cs="Times New Roman" w:eastAsia="Times New Roman"/>
          <w:b w:val="false"/>
          <w:sz w:val="26"/>
        </w:rPr>
        <w:t>- Kể từ ngày nhận được văn bản và hồ sơ đề nghị bổ nhiệm Thừa phát lại của Sở Tư pháp, Chủ tịch Ủy ban nhân dân cấp tỉnh xem xét, quyết định bổ nhiệm Thừa phát lại; trường hợp từ chối phải thông báo bằng văn bản và nêu rõ lý do. Trường hợp cần thiết, Chủ tịch Ủy ban nhân dân cấp tỉnh tiến hành xác minh hoặc có yêu cầu Sở Tư pháp, cơ quan, tổ chức có liên quan xác minh tiêu chuẩn bổ nhiệm, thông tin trong hồ sơ đề nghị bổ nhiệm trước khi xem xét, quyết định việc bổ nhiệm. Thời gian xác minh không quá 45 ngày kể từ ngày Chủ tịch Ủy ban nhân dân cấp tỉnh có văn bản xác minh; thời gian xác minh không tính vào thời hạn xem xét bổ nhiệm Thừa phát lại nêu tại khoản này.
Khi giải quyết hồ sơ đề nghị bổ nhiệm Thừa phát lại, Cơ quan có thẩm quyền bổ nhiệm Thừa phát lại yêu cầu cơ quan quản lý cơ sở dữ liệu lý lịch tư pháp cung cấp thông tin lý lịch tư pháp đối với người xin bổ nhiệm Thừa phát lại. Cơ quan quản lý cơ sở dữ liệu lý lịch tư pháp có trách nhiệm cung cấp thông tin cho cơ quan yêu cầu trong thời hạn 03 ngày làm việc kể từ ngày nhận được yêu cầu. Thời gian phối hợp cung cấp thông tin lý lịch tư pháp không tính vào thời gian giải quyết thủ tục hành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800.000 Đồng</w:t>
            </w:r>
          </w:p>
        </w:tc>
        <w:tc>
          <w:p/>
          <w:p>
            <w:pPr>
              <w:spacing w:after="0" w:before="0" w:lineRule="auto" w:line="276"/>
              <w:jc w:val="left"/>
            </w:pPr>
            <w:r>
              <w:rPr>
                <w:rFonts w:ascii="Times New Roman" w:hAnsi="Times New Roman" w:cs="Times New Roman" w:eastAsia="Times New Roman"/>
                <w:b w:val="false"/>
                <w:sz w:val="26"/>
              </w:rPr>
              <w:t>- Trong thời hạn 27 ngày làm việc kể từ ngày nhận đủ hồ sơ hợp lệ.
- Thời gian xác minh, yêu cầu cung cấp thông tin lý lịch tư pháp không tính vào thời gian giải quyết thủ tục hành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800.000 Đồng</w:t>
            </w:r>
          </w:p>
        </w:tc>
        <w:tc>
          <w:p/>
          <w:p>
            <w:pPr>
              <w:spacing w:after="0" w:before="0" w:lineRule="auto" w:line="276"/>
              <w:jc w:val="left"/>
            </w:pPr>
            <w:r>
              <w:rPr>
                <w:rFonts w:ascii="Times New Roman" w:hAnsi="Times New Roman" w:cs="Times New Roman" w:eastAsia="Times New Roman"/>
                <w:b w:val="false"/>
                <w:sz w:val="26"/>
              </w:rPr>
              <w:t>- Trong thời hạn 27 ngày làm việc kể từ ngày nhận đủ hồ sơ hợp lệ.
- Thời gian xác minh, yêu cầu cung cấp thông tin lý lịch tư pháp không tính vào thời gian giải quyết thủ tục hành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800.000 Đồng</w:t>
            </w:r>
          </w:p>
        </w:tc>
        <w:tc>
          <w:p/>
          <w:p>
            <w:pPr>
              <w:spacing w:after="0" w:before="0" w:lineRule="auto" w:line="276"/>
              <w:jc w:val="left"/>
            </w:pPr>
            <w:r>
              <w:rPr>
                <w:rFonts w:ascii="Times New Roman" w:hAnsi="Times New Roman" w:cs="Times New Roman" w:eastAsia="Times New Roman"/>
                <w:b w:val="false"/>
                <w:sz w:val="26"/>
              </w:rPr>
              <w:t>- Trong thời hạn 27 ngày làm việc kể từ ngày nhận đủ hồ sơ hợp lệ.
- Thời gian xác minh, yêu cầu cung cấp thông tin lý lịch tư pháp không tính vào thời gian giải quyết thủ tục hành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bổ nhiệm Thừa phát lại</w:t>
            </w:r>
          </w:p>
        </w:tc>
        <w:tc>
          <w:p/>
          <w:p>
            <w:pPr>
              <w:spacing w:after="0" w:before="0" w:lineRule="auto" w:line="276"/>
              <w:jc w:val="left"/>
            </w:pPr>
            <w:r>
              <w:rPr>
                <w:rFonts w:ascii="Times New Roman" w:hAnsi="Times New Roman" w:cs="Times New Roman" w:eastAsia="Times New Roman"/>
                <w:b w:val="false"/>
                <w:sz w:val="26"/>
              </w:rPr>
              <w:t>GiaydenghibonhiemTPL.docx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sao điện tử giấy tờ chứng minh về thời gian công tác pháp luật bao gồm: Quyết định tuyển dụng, hợp đồng làm việc hoặc hợp đồng lao động kèm theo giấy tờ chứng minh thời gian đóng bảo hiểm xã hội; giấy tờ chứng minh đã miễn nhiệm, thu hồi chứng chỉ hành nghề hoặc thu hồi thẻ đối với các trường hợp quy định tại khoản 2 Điều 11 của Nghị định số 08/2020/NĐ-CP; giấy tờ chứng minh đã nghỉ hưu hoặc thôi việc đối với trường hợp thuộc khoản 3 Điều 11 của Nghị định số 08/2020/NĐ-CP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bổ nhiệm thừa phát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05/2020/TT-BTP</w:t>
            </w:r>
          </w:p>
        </w:tc>
        <w:tc>
          <w:p/>
          <w:p>
            <w:pPr>
              <w:spacing w:after="0" w:before="0" w:lineRule="auto" w:line="276"/>
              <w:jc w:val="left"/>
            </w:pPr>
            <w:r>
              <w:rPr>
                <w:rFonts w:ascii="Times New Roman" w:hAnsi="Times New Roman" w:cs="Times New Roman" w:eastAsia="Times New Roman"/>
                <w:b w:val="false"/>
                <w:sz w:val="26"/>
              </w:rPr>
              <w:t>Thông tư 05/2020/TT-BTP</w:t>
            </w:r>
          </w:p>
        </w:tc>
        <w:tc>
          <w:p/>
          <w:p>
            <w:pPr>
              <w:spacing w:after="0" w:before="0" w:lineRule="auto" w:line="276"/>
              <w:jc w:val="left"/>
            </w:pPr>
            <w:r>
              <w:rPr>
                <w:rFonts w:ascii="Times New Roman" w:hAnsi="Times New Roman" w:cs="Times New Roman" w:eastAsia="Times New Roman"/>
                <w:b w:val="false"/>
                <w:sz w:val="26"/>
              </w:rPr>
              <w:t>28-08-2020</w:t>
            </w:r>
          </w:p>
        </w:tc>
        <w:tc>
          <w:p/>
        </w:tc>
      </w:tr>
      <w:tr>
        <w:tc>
          <w:p/>
          <w:p>
            <w:pPr>
              <w:spacing w:after="0" w:before="0" w:lineRule="auto" w:line="276"/>
              <w:jc w:val="left"/>
            </w:pPr>
            <w:r>
              <w:rPr>
                <w:rFonts w:ascii="Times New Roman" w:hAnsi="Times New Roman" w:cs="Times New Roman" w:eastAsia="Times New Roman"/>
                <w:b w:val="false"/>
                <w:sz w:val="26"/>
              </w:rPr>
              <w:t>08/2020/NĐ-CP</w:t>
            </w:r>
          </w:p>
        </w:tc>
        <w:tc>
          <w:p/>
          <w:p>
            <w:pPr>
              <w:spacing w:after="0" w:before="0" w:lineRule="auto" w:line="276"/>
              <w:jc w:val="left"/>
            </w:pPr>
            <w:r>
              <w:rPr>
                <w:rFonts w:ascii="Times New Roman" w:hAnsi="Times New Roman" w:cs="Times New Roman" w:eastAsia="Times New Roman"/>
                <w:b w:val="false"/>
                <w:sz w:val="26"/>
              </w:rPr>
              <w:t>Nghị định 08/2020/NĐ-CP</w:t>
            </w:r>
          </w:p>
        </w:tc>
        <w:tc>
          <w:p/>
          <w:p>
            <w:pPr>
              <w:spacing w:after="0" w:before="0" w:lineRule="auto" w:line="276"/>
              <w:jc w:val="left"/>
            </w:pPr>
            <w:r>
              <w:rPr>
                <w:rFonts w:ascii="Times New Roman" w:hAnsi="Times New Roman" w:cs="Times New Roman" w:eastAsia="Times New Roman"/>
                <w:b w:val="false"/>
                <w:sz w:val="26"/>
              </w:rPr>
              <w:t>08-01-2020</w:t>
            </w:r>
          </w:p>
        </w:tc>
        <w:tc>
          <w:p/>
        </w:tc>
      </w:tr>
      <w:tr>
        <w:tc>
          <w:p/>
          <w:p>
            <w:pPr>
              <w:spacing w:after="0" w:before="0" w:lineRule="auto" w:line="276"/>
              <w:jc w:val="left"/>
            </w:pPr>
            <w:r>
              <w:rPr>
                <w:rFonts w:ascii="Times New Roman" w:hAnsi="Times New Roman" w:cs="Times New Roman" w:eastAsia="Times New Roman"/>
                <w:b w:val="false"/>
                <w:sz w:val="26"/>
              </w:rPr>
              <w:t>223/2016/TT-BTC</w:t>
            </w:r>
          </w:p>
        </w:tc>
        <w:tc>
          <w:p/>
          <w:p>
            <w:pPr>
              <w:spacing w:after="0" w:before="0" w:lineRule="auto" w:line="276"/>
              <w:jc w:val="left"/>
            </w:pPr>
            <w:r>
              <w:rPr>
                <w:rFonts w:ascii="Times New Roman" w:hAnsi="Times New Roman" w:cs="Times New Roman" w:eastAsia="Times New Roman"/>
                <w:b w:val="false"/>
                <w:sz w:val="26"/>
              </w:rPr>
              <w:t>Thông tư 223/2016/TT-BTC</w:t>
            </w:r>
          </w:p>
        </w:tc>
        <w:tc>
          <w:p/>
          <w:p>
            <w:pPr>
              <w:spacing w:after="0" w:before="0" w:lineRule="auto" w:line="276"/>
              <w:jc w:val="left"/>
            </w:pPr>
            <w:r>
              <w:rPr>
                <w:rFonts w:ascii="Times New Roman" w:hAnsi="Times New Roman" w:cs="Times New Roman" w:eastAsia="Times New Roman"/>
                <w:b w:val="false"/>
                <w:sz w:val="26"/>
              </w:rPr>
              <w:t>10-11-2016</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Người đề nghị bổ nhiệm Thừa phát lại phải có đủ các tiêu chuẩn quy định tại Điều 6 của Nghị định số 08/2020/NĐ-CP: công dân Việt Nam không quá 65 tuổi, thường trú tại Việt Nam, chấp hành tốt Hiến pháp và pháp luật, có phẩm chất đạo đức tốt; có bằng tốt nghiệp đại học hoặc sau đại học chuyên ngành luật; có thời gian công tác pháp luật từ 03 năm trở lên tại các cơ quan, tổ chức sau khi đã có bằng tốt nghiệp đại học hoặc sau đại học chuyên ngành luật; tốt nghiệp khóa đào tạo, được công nhận tương đương đào tạo hoặc hoàn thành khóa bồi dưỡng nghề Thừa phát lại quy định tại Điều 7 của Nghị định số 08/2020/NĐ-CP; đạt yêu cầu kiểm tra kết quả tập sự hành nghề Thừa phát lại.
2. Người thuộc các trường hợp quy định tại Điều 11 của Nghị định số 08/2020/NĐ-CP thì không được bổ nhiệm Thừa phát lại:
 - Người bị mất hoặc bị hạn chế năng lực hành vi dân sự; có khó khăn trong nhận thức, làm chủ hành vi theo quy định của Bộ luật Dân sự;
- Người đã được bổ nhiệm công chứng viên; được cấp chứng chỉ hành nghề luật sư, đấu giá, quản tài viên; được cấp thẻ thẩm định viên về giá mà chưa miễn nhiệm công chứng viên, thu hồi chứng chỉ hành nghề luật sư, đấu giá, quản tài viên, thẻ thẩm định viên về giá;
- Người đang là cán bộ, công chức, viên chức, sĩ quan, quân nhân chuyên nghiệp, công nhân, viên chức quốc phòng trong cơ quan, đơn vị thuộc Quân đội nhân dân, sĩ quan, hạ sĩ quan, chiến sỹ trong cơ quan, đơn vị thuộc Công an nhân dân;
- Người đang bị truy cứu trách nhiệm hình sự; người đã bị kết án về tội phạm do vô ý, tội phạm ít nghiêm trọng do cố ý mà chưa được xóa án tích; người đã bị kết án về tội phạm liên quan đến chiếm đoạt tài sản, trục lợi, gian lận, gian dối, xâm phạm an ninh quốc gia, tội phạm nghiêm trọng, tội phạm rất nghiêm trọng, tội phạm đặc biệt nghiêm trọng do cố ý, kể cả trường hợp đã được xóa án tích;
- Cán bộ, công chức, viên chức, sĩ quan, quân nhân chuyên nghiệp, công nhân, viên chức quốc phòng trong cơ quan, đơn vị thuộc Quân đội nhân dân, sĩ quan, hạ sĩ quan, chiến sỹ trong cơ quan, đơn vị thuộc Công an nhân dân bị bãi nhiệm, bị xử lý kỷ luật bằng hình thức cách chức, buộc thôi việc, tước danh hiệu hoặc đưa ra khỏi ngành;
- Người bị xử lý kỷ luật bằng hình thức xóa tên khỏi danh sách luật sư của Đoàn luật sư do vi phạm pháp luật hoặc vi phạm quy tắc đạo đức nghề nghiệp luật sư; người bị xử phạt vi phạm hành chính bằng hình thức tước quyền sử dụng chứng chỉ hành nghề luật sư mà chưa hết thời hạn 03 năm, kể từ ngày chấp hành xong quyết định xử phạt vi phạm hành chính đó;
- Người bị xử phạt vi phạm hành chính bằng hình thức tước quyền sử dụng thẻ công chứng viên, thẻ thẩm định viên về giá, chứng chỉ hành nghề đấu giá, chứng chỉ hành nghề quản tài viên mà chưa hết thời hạn 03 năm, kể từ ngày chấp hành xong quyết định xử phạt vi phạm hành chính đó;
- Người đang bị áp dụng biện pháp xử lý hành chính đưa vào cơ sở cai nghiện bắt buộc, cơ sở giáo dục bắt buộc.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2026-05-22T15:53:04Z</dcterms:created>
  <dc:creator>Apache POI</dc:creator>
</cp:coreProperties>
</file>