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luật sư đối với người đạt yêu cầu kiểm tra kết quả tập sự hành nghề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đạt yêu cầu kiểm tra kết quả tập sự hành nghề luật sư có hồ sơ đề nghị cấp Chứng chỉ hành nghề luật sư gửi Trung tâm Phục vụ hành chính công tỉnh Điện Biên hoặc Trung tâm Phục vụ hành chính công cấp xã theo hình thức "phi địa giới", Trung tâm Phục vụ hành chính công chuyển hồ sơ về Sở Tư pháp để giải quyết.</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tỉnh.</w:t>
      </w:r>
    </w:p>
    <w:p>
      <w:pPr>
        <w:spacing w:after="0" w:before="0" w:lineRule="auto" w:line="276"/>
        <w:jc w:val="both"/>
      </w:pPr>
      <w:r>
        <w:rPr>
          <w:rFonts w:ascii="Times New Roman" w:hAnsi="Times New Roman" w:cs="Times New Roman" w:eastAsia="Times New Roman"/>
          <w:b w:val="false"/>
          <w:sz w:val="26"/>
        </w:rPr>
        <w:t>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w:t>
      </w:r>
    </w:p>
    <w:p>
      <w:pPr>
        <w:spacing w:after="0" w:before="0" w:lineRule="auto" w:line="276"/>
        <w:jc w:val="both"/>
      </w:pPr>
      <w:r>
        <w:rPr>
          <w:rFonts w:ascii="Times New Roman" w:hAnsi="Times New Roman" w:cs="Times New Roman" w:eastAsia="Times New Roman"/>
          <w:b w:val="false"/>
          <w:sz w:val="26"/>
        </w:rPr>
        <w:t>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của Sở Tư pháp, Chủ tịch Ủy ban nhân dân tỉnh quyết định cấp Chứng chỉ hành nghề luật sư; trường hợp từ chối phải thông báo bằng văn bản và nêu rõ lý do.</w:t>
      </w:r>
    </w:p>
    <w:p>
      <w:pPr>
        <w:spacing w:after="0" w:before="0" w:lineRule="auto" w:line="276"/>
        <w:jc w:val="both"/>
      </w:pPr>
      <w:r>
        <w:rPr>
          <w:rFonts w:ascii="Times New Roman" w:hAnsi="Times New Roman" w:cs="Times New Roman" w:eastAsia="Times New Roman"/>
          <w:b w:val="false"/>
          <w:sz w:val="26"/>
        </w:rPr>
        <w:t>Người yêu cầu nhận kết quả tại Sở Tư pháp nơi mình nộp hồ sơ hoặc qua dịch vụ bưu chính, trừ trường hợp pháp luật có quy định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100.000 đồng/hồ sơ. </w:t>
            </w:r>
          </w:p>
          <w:p>
            <w:pPr>
              <w:spacing w:after="0" w:before="0" w:lineRule="auto" w:line="276"/>
              <w:jc w:val="left"/>
            </w:pPr>
            <w:r>
              <w:rPr>
                <w:rFonts w:ascii="Times New Roman" w:hAnsi="Times New Roman" w:cs="Times New Roman" w:eastAsia="Times New Roman"/>
                <w:b w:val="false"/>
                <w:sz w:val="26"/>
              </w:rPr>
              <w:t xml:space="preserve">Phí : 800.000 đồng/hồ sơ </w:t>
              <w:t xml:space="preserve"> (áp dụng mức phí 400.000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tỉnh.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tỉnh quyết định cấp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100.000 đồng/hồ sơ </w:t>
            </w:r>
          </w:p>
          <w:p>
            <w:pPr>
              <w:spacing w:after="0" w:before="0" w:lineRule="auto" w:line="276"/>
              <w:jc w:val="left"/>
            </w:pPr>
            <w:r>
              <w:rPr>
                <w:rFonts w:ascii="Times New Roman" w:hAnsi="Times New Roman" w:cs="Times New Roman" w:eastAsia="Times New Roman"/>
                <w:b w:val="false"/>
                <w:sz w:val="26"/>
              </w:rPr>
              <w:t xml:space="preserve">Phí : 800.000 đồng/hồ sơ </w:t>
              <w:t xml:space="preserve"> (áp dụng mức phí 400.000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tỉnh.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tỉnh quyết định cấp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100.000 đồng/hồ sơ </w:t>
            </w:r>
          </w:p>
          <w:p>
            <w:pPr>
              <w:spacing w:after="0" w:before="0" w:lineRule="auto" w:line="276"/>
              <w:jc w:val="left"/>
            </w:pPr>
            <w:r>
              <w:rPr>
                <w:rFonts w:ascii="Times New Roman" w:hAnsi="Times New Roman" w:cs="Times New Roman" w:eastAsia="Times New Roman"/>
                <w:b w:val="false"/>
                <w:sz w:val="26"/>
              </w:rPr>
              <w:t xml:space="preserve">Phí : 800.000 đồng/hồ sơ </w:t>
              <w:t xml:space="preserve"> (áp dụng mức phí 400.000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tỉnh.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tỉnh quyết định cấp Chứng chỉ hành nghề luật sư;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hoặc bản sao điện tử Bằng cử nhân luật hoặc Bằng thạc sỹ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điện tử Giấy chứng nhận kiểm tra kết quả tập sự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(đối với người thuộc trường hợp quy định tại khoản 2 Điều 2a của Nghị định số 137/2018/NĐ-CP)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cấp Chứng chỉ hành nghề luật sư</w:t>
            </w:r>
          </w:p>
        </w:tc>
        <w:tc>
          <w:p/>
          <w:p>
            <w:pPr>
              <w:spacing w:after="0" w:before="0" w:lineRule="auto" w:line="276"/>
              <w:jc w:val="left"/>
            </w:pPr>
            <w:r>
              <w:rPr>
                <w:rFonts w:ascii="Times New Roman" w:hAnsi="Times New Roman" w:cs="Times New Roman" w:eastAsia="Times New Roman"/>
                <w:b w:val="false"/>
                <w:sz w:val="26"/>
              </w:rPr>
              <w:t>Mauso01-PLIII-LS.docx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luật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220/2016/TT-BTC</w:t>
            </w:r>
          </w:p>
        </w:tc>
        <w:tc>
          <w:p/>
          <w:p>
            <w:pPr>
              <w:spacing w:after="0" w:before="0" w:lineRule="auto" w:line="276"/>
              <w:jc w:val="left"/>
            </w:pPr>
            <w:r>
              <w:rPr>
                <w:rFonts w:ascii="Times New Roman" w:hAnsi="Times New Roman" w:cs="Times New Roman" w:eastAsia="Times New Roman"/>
                <w:b w:val="false"/>
                <w:sz w:val="26"/>
              </w:rPr>
              <w:t>Thông tư số 220/2016/TT-BTC của Bộ trưởng Bộ Tài chính ngày 10/11/2016 quy định mức thu, chế độ thu, nộp, quản lý phí, lệ phí trong lĩnh vực hoạt động luật sư</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137/2018/NĐ-CP</w:t>
            </w:r>
          </w:p>
        </w:tc>
        <w:tc>
          <w:p/>
          <w:p>
            <w:pPr>
              <w:spacing w:after="0" w:before="0" w:lineRule="auto" w:line="276"/>
              <w:jc w:val="left"/>
            </w:pPr>
            <w:r>
              <w:rPr>
                <w:rFonts w:ascii="Times New Roman" w:hAnsi="Times New Roman" w:cs="Times New Roman" w:eastAsia="Times New Roman"/>
                <w:b w:val="false"/>
                <w:sz w:val="26"/>
              </w:rPr>
              <w:t>Nghị định 137/2018/NĐ-CP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02/2015/TT-BTP</w:t>
            </w:r>
          </w:p>
        </w:tc>
        <w:tc>
          <w:p/>
          <w:p>
            <w:pPr>
              <w:spacing w:after="0" w:before="0" w:lineRule="auto" w:line="276"/>
              <w:jc w:val="left"/>
            </w:pPr>
            <w:r>
              <w:rPr>
                <w:rFonts w:ascii="Times New Roman" w:hAnsi="Times New Roman" w:cs="Times New Roman" w:eastAsia="Times New Roman"/>
                <w:b w:val="false"/>
                <w:sz w:val="26"/>
              </w:rPr>
              <w:t>Thông tư 02/2015/TT-BTP</w:t>
            </w:r>
          </w:p>
        </w:tc>
        <w:tc>
          <w:p/>
          <w:p>
            <w:pPr>
              <w:spacing w:after="0" w:before="0" w:lineRule="auto" w:line="276"/>
              <w:jc w:val="left"/>
            </w:pPr>
            <w:r>
              <w:rPr>
                <w:rFonts w:ascii="Times New Roman" w:hAnsi="Times New Roman" w:cs="Times New Roman" w:eastAsia="Times New Roman"/>
                <w:b w:val="false"/>
                <w:sz w:val="26"/>
              </w:rPr>
              <w:t>16-01-2015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104/2009/NĐ-CP</w:t>
            </w:r>
          </w:p>
        </w:tc>
        <w:tc>
          <w:p/>
          <w:p>
            <w:pPr>
              <w:spacing w:after="0" w:before="0" w:lineRule="auto" w:line="276"/>
              <w:jc w:val="left"/>
            </w:pPr>
            <w:r>
              <w:rPr>
                <w:rFonts w:ascii="Times New Roman" w:hAnsi="Times New Roman" w:cs="Times New Roman" w:eastAsia="Times New Roman"/>
                <w:b w:val="false"/>
                <w:sz w:val="26"/>
              </w:rPr>
              <w:t>Nghị định số 104/2009/NĐ-CP ngày 09 tháng 11 năm 2009 của Chính phủ quy định danh mục hàng nguy hiểm và vận chuyển hàng nguy hiểm bằng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09-11-2009</w:t>
            </w:r>
          </w:p>
        </w:tc>
        <w:tc>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đề nghị cấp Chứng chỉ hành nghề luật sư phải có đủ các tiêu chuẩn quy định tại Điều 10 của Luật Luật sư: công dân Việt Nam trung thành với Tổ quốc, tuân thủ Hiến pháp và pháp luật, có phẩm chất đạo đức tốt, có bằng cử nhân luật, đã được đào tạo nghề luật sư, đã qua thời gian tập sự hành nghề luật sư, có sức khoẻ bảo đảm hành nghề luật sư thì có thể trở thành luật sư.
2. Người thuộc trường hợp quy định tại điểm a khoản 1 Điều 2a của Nghị định số 137/2018/NĐ-CP ngày 08/10/2018 của Chính phủ sửa đổi, bổ sung một số điều của Nghị định số 123/2013/NĐ-CP ngày 14/10/2013 của Chính phủ mà quyết định kỷ luật đã chấm dứt hiệu lực hoặc đã hết thời hạn 03 năm, kể từ ngày quyết định kỷ luật buộc thôi việc có hiệu lực hoặc đã hết thời hạn 01 năm, kể từ ngày chấp hành xong quyết định xử lý hành chính hoặc người bị kết án về tội phạm do vô ý hoặc tội phạm ít nghiêm trọng do cố ý mà đã được xóa án tích và không thuộc trường hợp quy định tại điểm b khoản 1 Điều 2a của Nghị định số 137/2018/NĐ-CP, nếu có 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thì được coi là đã sửa chữa, rèn luyện và đáp ứng tiêu chuẩn về tuân thủ Hiến pháp và pháp luật, có phẩm chất đạo đức tốt theo quy định tại Điều 10 của Luật Luật sư. 
3. Người thuộc một trong những trường hợp sau đây thì không được cấp Chứng chỉ hành nghề luật sư:
- Không đủ tiêu chuẩn luật sư quy định tại Điều 10 của Luật Luật sư;
- Đang là cán bộ, công chức, viên chức; sĩ quan, quân nhân chuyên nghiệp, công nhân quốc phòng trong cơ quan, đơn vị thuộc Quân đội nhân dân; sĩ quan, hạ sĩ quan, công nhân trong cơ quan, đơn vị thuộc Công an nhân dân;
- Không thường trú tại Việt Nam;
- Đang bị truy cứu trách nhiệm hình sự; đã bị kết án mà chưa được xoá án tích về tội phạm do vô ý hoặc tội phạm ít nghiêm trọng do cố ý; đã bị kết án về tội phạm nghiêm trọng do cố ý, tội phạm rất nghiêm trọng do cố ý, tội phạm đặc biệt nghiêm trọng do cố ý kể cả trường hợp đã được xóa án tích;
- Đang bị áp dụng biện pháp xử lý hành chính đưa vào cơ sở cai nghiện bắt buộc, cơ sở giáo dục bắt buộc;
- Mất năng lực hành vi dân sự hoặc bị hạn chế năng lực hành vi dân sự;
- Những người đang là cán bộ, công chức, viên chức, sĩ quan, quân nhân chuyên nghiệp, công nhân quốc phòng trong cơ quan, đơn vị thuộc Quân đội nhân dân; sĩ quan, hạ sĩ quan, công nhân trong cơ quan, đơn vị thuộc Công an nhân dân bị buộc thôi việc mà chưa hết thời hạn ba năm, kể từ ngày quyết định buộc thôi việc có hiệu lực.
- Đã bị xử lý hành chính hoặc xử lý kỷ luật hoặc xử lý hình sự hoặc có kết luận của cơ quan có thẩm quyền về một trong các hành vi liên quan đến chiếm đoạt tài sản, trục lợi, gian lận, gian dối, xâm phạm an ninh quốc gia; ứng xử, phát ngôn làm ảnh hưởng đến hình ảnh, uy tín nghề luật sư hoặc gây thiệt hại đến quyền và lợi ích hợp pháp của cơ quan, tổ chức, cá nhân; tham gia, lôi kéo, kích động, mua chuộc, cưỡng ép người khác tập trung đông người để gây rối trật tự công cộng, thực hiện các hành vi vi phạm pháp luật hoặc vi phạm quy định tại điểm b, d, e, g, i hoặc k khoản 1 Điều 9 của Luật Luật sư; vi phạm pháp luật khác do cố ý đã bị xử lý kỷ luật từ hai lần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2026-05-22T16:00:56Z</dcterms:created>
  <dc:creator>Apache POI</dc:creator>
</cp:coreProperties>
</file>