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1.008628.000.00.00.H18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luật sư trong trường hợp bị mất, bị rách, bị cháy hoặc vì lý do khác không cố 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trường hợp Chứng chỉ hành nghề luật sư bị mất, bị rách, bị cháy hoặc vì lý do khách quan mà thông tin trên Chứng chỉ hành nghề luật sư bị thay đổi thì được cấp lại Chứng chỉ hành nghề luật sư.
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tỉnh.
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Trong thời hạn 10 ngày làm việc kể từ ngày nhận đủ hồ sơ hợp lệ của Sở Tư pháp, Chủ tịch Ủy ban nhân dân tỉnh quyết định cấp Chứng chỉ hành nghề luật sư;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800.000 đồng/hồ sơ </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đồng/hồ sơ Đồng</w:t>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tỉnh.
- 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
-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 Trong thời hạn 10 ngày làm việc kể từ ngày nhận đủ hồ sơ hợp lệ của Sở Tư pháp, Chủ tịch Ủy ban nhân dân tỉnh quyết định cấp Chứng chỉ hành nghề luật sư;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800.000 đồng/hồ sơ </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 xml:space="preserve">Lệ phí : 100.000 đồng/hồ sơ </w:t>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tỉnh.
- 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
-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 Trong thời hạn 10 ngày làm việc kể từ ngày nhận đủ hồ sơ hợp lệ của Sở Tư pháp, Chủ tịch Ủy ban nhân dân tỉnh quyết định cấp Chứng chỉ hành nghề luật sư; 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800.000 đồng/hồ sơ </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 xml:space="preserve">Lệ phí : 100.000 đồng/hồ sơ </w:t>
            </w:r>
          </w:p>
        </w:tc>
        <w:tc>
          <w:p/>
          <w:p>
            <w:pPr>
              <w:spacing w:after="0" w:before="0" w:lineRule="auto" w:line="276"/>
              <w:jc w:val="left"/>
            </w:pPr>
            <w:r>
              <w:rPr>
                <w:rFonts w:ascii="Times New Roman" w:hAnsi="Times New Roman" w:cs="Times New Roman" w:eastAsia="Times New Roman"/>
                <w:b w:val="false"/>
                <w:sz w:val="26"/>
              </w:rPr>
              <w:t>- Trong thời hạn 05 ngày làm việc kể từ ngày nhận đủ hồ sơ hợp lệ, Sở Tư pháp có trách nhiệm kiểm tra hồ sơ, trong trường hợp cần thiết thì tiến hành xác minh tính hợp pháp của hồ sơ và có văn bản đề nghị kèm theo hồ sơ cấp Chứng chỉ hành nghề luật sư trình Chủ tịch Ủy ban nhân dân tỉnh.
- Khi giải quyết hồ sơ đề nghị cấp Chứng chỉ hành nghề luật sư, Sở Tư pháp yêu cầu cơ quan quản lý cơ sở dữ liệu lý lịch tư pháp cung cấp thông tin lý lịch tư pháp đối với người đề nghị cấp chứng chỉ hành nghề luật sư.
- Cơ quan quản lý cơ sở dữ liệu lý lịch tư pháp có trách nhiệm cung cấp thông tin cho cơ quan yêu cầu trong thời hạn 03 ngày làm việc kể từ ngày nhận được yêu cầu. Thời gian phối hợp cung cấp thông tin lý lịch tư pháp không tính vào thời gian giải quyết thủ tục hành chính.
- Trong thời hạn 10 ngày làm việc kể từ ngày nhận đủ hồ sơ hợp lệ của Sở Tư pháp, Chủ tịch Ủy ban nhân dân tỉnh quyết định cấp Chứng chỉ hành nghề luật sư; trường hợp từ chối phải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Bằng cử nhân luật hoặc bản sao Bằng thạc sỹ luật trừ những người là giáo sư, phó giáo sư chuyên ngành luật, tiến sỹ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kiểm tra kết quả tập sự hành nghề luật sư đối với người đạt yêu cầu kiểm tra hoặc bản sao giấy tờ chứng minh là người được miễn tập sự hành nghề luật sư quy định tại khoản 1 Điều 16 của Luật Luật sư đối với trường hợp miễn tập sự hành nghề luật sư bao gồm một trong các giấy tờ sau đây: + Bản sao Quyết định bổ nhiệm thẩm phán, kiểm sát viên, điều tra viên hoặc Nghị quyết của Hội đồng nhân dân, Biên bản bầu thẩm phán của Hội đồng nhân dân đối với trường hợp thẩm phán do Hội đồng nhân dân cấp huyện, cấp tỉnh bầu. + Bản sao Quyết định phong hàm Giáo sư, Phó Giáo sư chuyên ngành luật sư hoặc bản sao bằng tiến sỹ luật. + Bản sao Quyết định bổ nhiệm thẩm tra viên cao cấp ngành Tòa án, kiểm tra viên cao cấp ngành Kiểm sát, chuyên viên cao cấp, nghiên cứu viên cao cấp, giảng viên cao cấp chuyên ngành luật. + Các giấy tờ hợp pháp khác chứng minh là người được miễn tập sự hành nghề luật sư.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VB đề nghị cấp lại Chứng chỉ hành nghề luật sư</w:t>
            </w:r>
          </w:p>
        </w:tc>
        <w:tc>
          <w:p/>
          <w:p>
            <w:pPr>
              <w:spacing w:after="0" w:before="0" w:lineRule="auto" w:line="276"/>
              <w:jc w:val="left"/>
            </w:pPr>
            <w:r>
              <w:rPr>
                <w:rFonts w:ascii="Times New Roman" w:hAnsi="Times New Roman" w:cs="Times New Roman" w:eastAsia="Times New Roman"/>
                <w:b w:val="false"/>
                <w:sz w:val="26"/>
              </w:rPr>
              <w:t>Mauso01-PLIII-LS.docx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luật sư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17/2011/TT-BTP</w:t>
            </w:r>
          </w:p>
        </w:tc>
        <w:tc>
          <w:p/>
          <w:p>
            <w:pPr>
              <w:spacing w:after="0" w:before="0" w:lineRule="auto" w:line="276"/>
              <w:jc w:val="left"/>
            </w:pPr>
            <w:r>
              <w:rPr>
                <w:rFonts w:ascii="Times New Roman" w:hAnsi="Times New Roman" w:cs="Times New Roman" w:eastAsia="Times New Roman"/>
                <w:b w:val="false"/>
                <w:sz w:val="26"/>
              </w:rPr>
              <w:t>Thông tư 17/2011/TT-BTP</w:t>
            </w:r>
          </w:p>
        </w:tc>
        <w:tc>
          <w:p/>
          <w:p>
            <w:pPr>
              <w:spacing w:after="0" w:before="0" w:lineRule="auto" w:line="276"/>
              <w:jc w:val="left"/>
            </w:pPr>
            <w:r>
              <w:rPr>
                <w:rFonts w:ascii="Times New Roman" w:hAnsi="Times New Roman" w:cs="Times New Roman" w:eastAsia="Times New Roman"/>
                <w:b w:val="false"/>
                <w:sz w:val="26"/>
              </w:rPr>
              <w:t>14-10-2011</w:t>
            </w:r>
          </w:p>
        </w:tc>
        <w:tc>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Nghị quyết 65/2006/QH11</w:t>
            </w:r>
          </w:p>
        </w:tc>
        <w:tc>
          <w:p/>
          <w:p>
            <w:pPr>
              <w:spacing w:after="0" w:before="0" w:lineRule="auto" w:line="276"/>
              <w:jc w:val="left"/>
            </w:pPr>
            <w:r>
              <w:rPr>
                <w:rFonts w:ascii="Times New Roman" w:hAnsi="Times New Roman" w:cs="Times New Roman" w:eastAsia="Times New Roman"/>
                <w:b w:val="false"/>
                <w:sz w:val="26"/>
              </w:rPr>
              <w:t>29-06-2006</w:t>
            </w:r>
          </w:p>
        </w:tc>
        <w:tc>
          <w:p/>
        </w:tc>
      </w:tr>
      <w:tr>
        <w:tc>
          <w:p/>
          <w:p>
            <w:pPr>
              <w:spacing w:after="0" w:before="0" w:lineRule="auto" w:line="276"/>
              <w:jc w:val="left"/>
            </w:pPr>
            <w:r>
              <w:rPr>
                <w:rFonts w:ascii="Times New Roman" w:hAnsi="Times New Roman" w:cs="Times New Roman" w:eastAsia="Times New Roman"/>
                <w:b w:val="false"/>
                <w:sz w:val="26"/>
              </w:rPr>
              <w:t>220/2016/TT-BTC</w:t>
            </w:r>
          </w:p>
        </w:tc>
        <w:tc>
          <w:p/>
          <w:p>
            <w:pPr>
              <w:spacing w:after="0" w:before="0" w:lineRule="auto" w:line="276"/>
              <w:jc w:val="left"/>
            </w:pPr>
            <w:r>
              <w:rPr>
                <w:rFonts w:ascii="Times New Roman" w:hAnsi="Times New Roman" w:cs="Times New Roman" w:eastAsia="Times New Roman"/>
                <w:b w:val="false"/>
                <w:sz w:val="26"/>
              </w:rPr>
              <w:t>Thông tư 220/2016/TT-BTC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thuộc một trong những trường hợp sau đây thì không được cấp lại Chứng chỉ hành nghề luật sư:
- Không đủ tiêu chuẩn luật sư quy định tại Điều 10 của Luật Luật sư;
- Đang là cán bộ, công chức, viên chức; sĩ quan, quân nhân chuyên nghiệp, công nhân quốc phòng trong cơ quan, đơn vị thuộc Quân đội nhân dân; sĩ quan, hạ sĩ quan, công nhân trong cơ quan, đơn vị thuộc Công an nhân dân;
- Không thường trú tại Việt Nam;
- Đang bị truy cứu trách nhiệm hình sự; đã bị kết án mà chưa được xoá án tích về tội phạm do vô ý hoặc tội phạm ít nghiêm trọng do cố ý; đã bị kết án về tội phạm nghiêm trọng do cố ý, tội phạm rất nghiêm trọng do cố ý, tội phạm đặc biệt nghiêm trọng do cố ý kể cả trường hợp đã được xóa án tích;
- Đang bị áp dụng biện pháp xử lý hành chính đưa vào cơ sở cai nghiện bắt buộc, cơ sở giáo dục bắt buộc;
- Mất năng lực hành vi dân sự hoặc bị hạn chế năng lực hành vi dân sự;
- Những người đang là cán bộ, công chức, viên chức, sĩ quan, quân nhân chuyên nghiệp, công nhân quốc phòng trong cơ quan, đơn vị thuộc Quân đội nhân dân; sĩ quan, hạ sĩ quan, công nhân trong cơ quan, đơn vị thuộc Công an nhân dân bị buộc thôi việc mà chưa hết thời hạn ba năm, kể từ ngày quyết định buộc thôi việc có hiệu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2026-05-22T15:48:59Z</dcterms:created>
  <dc:creator>Apache POI</dc:creator>
</cp:coreProperties>
</file>