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báo thành lập/thay đổi tổ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trưởng tổ hợp tác hoặc người đại diện theo ủy quyền của tổ hợp tác gửi thông báo thành lập/thay đổi tổ hợp tác đến Ủy ban nhân dân cấp xã, nơi tổ hợp tác dự định thành lập.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w:t>
      </w:r>
    </w:p>
    <w:p>
      <w:pPr>
        <w:spacing w:after="0" w:before="0" w:lineRule="auto" w:line="276"/>
        <w:jc w:val="both"/>
      </w:pPr>
      <w:r>
        <w:rPr>
          <w:rFonts w:ascii="Times New Roman" w:hAnsi="Times New Roman" w:cs="Times New Roman" w:eastAsia="Times New Roman"/>
          <w:b w:val="false"/>
          <w:sz w:val="26"/>
        </w:rPr>
        <w:t>Bước 2: Tiếp nhận hồ sơ
Ủy ban nhân dân cấp xã tiếp nhận hồ sơ thông báo thành lập/thay đổi tổ hợp tác.</w:t>
      </w:r>
    </w:p>
    <w:p>
      <w:pPr>
        <w:spacing w:after="0" w:before="0" w:lineRule="auto" w:line="276"/>
        <w:jc w:val="both"/>
      </w:pPr>
      <w:r>
        <w:rPr>
          <w:rFonts w:ascii="Times New Roman" w:hAnsi="Times New Roman" w:cs="Times New Roman" w:eastAsia="Times New Roman"/>
          <w:b w:val="false"/>
          <w:sz w:val="26"/>
        </w:rPr>
        <w:t>Bước 3: Xử lý hồ sơ
Sau khi tiếp nhận hồ sơ thông báo thành lập/thay đổi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tại thời điểm nhận hồ sơ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thành lập tổ hợp tác;</w:t>
            </w:r>
          </w:p>
        </w:tc>
        <w:tc>
          <w:p/>
          <w:p>
            <w:pPr>
              <w:spacing w:after="0" w:before="0" w:lineRule="auto" w:line="276"/>
              <w:jc w:val="left"/>
            </w:pPr>
            <w:r>
              <w:rPr>
                <w:rFonts w:ascii="Times New Roman" w:hAnsi="Times New Roman" w:cs="Times New Roman" w:eastAsia="Times New Roman"/>
                <w:b w:val="false"/>
                <w:sz w:val="26"/>
              </w:rPr>
              <w:t>MausoIV.1.docx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Hợp đồng hợp tác;</w:t>
            </w:r>
          </w:p>
        </w:tc>
        <w:tc>
          <w:p/>
          <w:p>
            <w:pPr>
              <w:spacing w:after="0" w:before="0" w:lineRule="auto" w:line="276"/>
              <w:jc w:val="left"/>
            </w:pPr>
            <w:r>
              <w:rPr>
                <w:rFonts w:ascii="Times New Roman" w:hAnsi="Times New Roman" w:cs="Times New Roman" w:eastAsia="Times New Roman"/>
                <w:b w:val="false"/>
                <w:sz w:val="26"/>
              </w:rPr>
              <w:t>MausoIV.2.docx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Ngành, nghề sản xuất, kinh doanh mà pháp luật không cấm; trừ trường hợp kinh doanh ngành, nghề yêu cầu phải có điều kiện;
- Tên của tổ hợp tác được đặt theo quy định tại Điều 13 của Nghị định 77/2019/NĐ-CP: 
“1. Tổ hợp tác có quyền chọn tên, biểu tượng của mình phù hợp với quy định tại khoản 2 Điều này và không trùng lặp với tên, biểu tượng của tổ hợp tác khác trong địa bàn cấp xã. 
2. Tên của tổ hợp tác chỉ bao gồm hai thành tố sau đây:
a) Loại hình “Tổ hợp tác”;
b) Tên riêng của tổ hợp tác. Tên riêng được viết bằng các chữ cái trong bảng chữ cái tiếng Việt, các chữ F, J, Z, W, có thể kèm theo chữ số, ký hiệu. Không được sử dụng từ ngữ, ký hiệu vi phạm truyền thống lịch sử, văn hóa, đạo đức và thuần phong mỹ tục của dân tộc để đặt tên riêng cho tổ hợp tác. Không được sử dụng các cụm từ gây nhầm lẫn với các loại hình tổ chức khác theo quy định của pháp luật Việt Nam để đặt tên tổ hợp tác.”
- Hồ sơ thông báo thành lập có đầy đủ giấy tờ và nội dung các giấy tờ đó được kê khai đầy đủ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Thành lập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2026-05-04T09:50:37Z</dcterms:created>
  <dc:creator>Apache POI</dc:creator>
</cp:coreProperties>
</file>