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khai thác nước dưới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01 tờ khai trực tiếp tại Trung tâm phục vụ hành chính công cấp xã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phòng chuyên môn về lĩnh vực nông nghiệp và môi trường để kiểm tra thông tin.</w:t>
      </w:r>
    </w:p>
    <w:p>
      <w:pPr>
        <w:spacing w:after="0" w:before="0" w:lineRule="auto" w:line="276"/>
        <w:jc w:val="both"/>
      </w:pPr>
      <w:r>
        <w:rPr>
          <w:rFonts w:ascii="Times New Roman" w:hAnsi="Times New Roman" w:cs="Times New Roman" w:eastAsia="Times New Roman"/>
          <w:b w:val="false"/>
          <w:sz w:val="26"/>
        </w:rPr>
        <w:t>- Bước 3: Thẩm định hồ sơ và quyết định phê duyệt tiền cấp quyền:
Kể từ ngày nhận tờ khai, phòng chuyên môn về lĩnh vực nông nghiệp và môi trường có trách nhiệm kiểm tra thông tin trình Chủ tịch Ủy ban nhân dân xã xác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hồ sơ hợp lệ, Phòng chuyên môn về lĩnh vực nông nghiệp và môi trường tổ chức kiểm tra nội dung tờ khai, trình Chủ tịch Ủy ban nhân dân cấp xã xác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hồ sơ hợp lệ, Phòng chuyên môn về lĩnh vực nông nghiệp và môi trường tổ chức kiểm tra nội dung tờ khai, trình Chủ tịch Ủy ban nhân dân cấp xã xác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quy định)</w:t>
            </w:r>
          </w:p>
        </w:tc>
        <w:tc>
          <w:p/>
          <w:p>
            <w:pPr>
              <w:spacing w:after="0" w:before="0" w:lineRule="auto" w:line="276"/>
              <w:jc w:val="left"/>
            </w:pPr>
            <w:r>
              <w:rPr>
                <w:rFonts w:ascii="Times New Roman" w:hAnsi="Times New Roman" w:cs="Times New Roman" w:eastAsia="Times New Roman"/>
                <w:b w:val="false"/>
                <w:sz w:val="26"/>
              </w:rPr>
              <w:t>Trong thời hạn 07 ngày làm việc, kể từ ngày nhận hồ sơ hợp lệ, Phòng chuyên môn về lĩnh vực nông nghiệp và môi trường tổ chức kiểm tra nội dung tờ khai, trình Chủ tịch Ủy ban nhân dân cấp xã xác nhận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khai thác cho các mục đích với quy mô không vượt quá 10m3/ngày đêm, trừ hộ gia đình khia thác nước dưới đất để dùng cho sinh hoạt của mình) theo Mẫu 13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Mu13.doc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đăng ký công trình khai thác nước dưới đất (đối với trường hợp sử dụng nước dưới đất tự chảy trong moong khai thác khoáng sát để tuyển quặng, bơm hút nước để tháo khô mỏ) theo Mẫu 14 tại Phụ lục I kèm theo Nghị định số 23/2026/NĐ-CP</w:t>
            </w:r>
          </w:p>
        </w:tc>
        <w:tc>
          <w:p/>
          <w:p>
            <w:pPr>
              <w:spacing w:after="0" w:before="0" w:lineRule="auto" w:line="276"/>
              <w:jc w:val="left"/>
            </w:pPr>
            <w:r>
              <w:rPr>
                <w:rFonts w:ascii="Times New Roman" w:hAnsi="Times New Roman" w:cs="Times New Roman" w:eastAsia="Times New Roman"/>
                <w:b w:val="false"/>
                <w:sz w:val="26"/>
              </w:rPr>
              <w:t>Mau14.doc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hoặc cơ quan xác nhận đăng ký.</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Kết quả của thủ tục Đăng ký khai thác nước dưới đất theo Mẫu 34a và Mẫu 34b tại Phụ lục I kèm theo Nghị định số 23/2026/NĐ-CP.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14/2025/TT-BNNMT</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2026-05-11T11:23:16Z</dcterms:created>
  <dc:creator>Apache POI</dc:creator>
</cp:coreProperties>
</file>