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1.008931.000.00.00.H18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484/QĐ-UBND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Thay đổi nội dung đăng ký hoạt động của Văn phòng Thừa phát lại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Thừa phát lại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Văn phòng Thừa phát lại gửi hồ sơ đề nghị thay đổi nội dung đăng ký hoạt động đến Trung tâm Phục vụ hành chính công tỉnh Điện Biên
- Sở Tư pháp cấp Giấy đăng ký hoạt động cho Văn phòng Thừa phát lại; trường hợp từ chối phải thông báo bằng văn bản có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trường hợp thay đổi Trưởng Văn phòng thì thời hạn cấp Giấy đăng ký hoạt động cho Văn phòng Thừa phát lại là 03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các trường hợp thay đổi khác thì thời hạn cấp Giấy đăng ký hoạt động cho Văn phòng Thừa phát lại là 07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trường hợp thay đổi Trưởng Văn phòng thì thời hạn cấp Giấy đăng ký hoạt động cho Văn phòng Thừa phát lại là 03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các trường hợp thay đổi khác thì thời hạn cấp Giấy đăng ký hoạt động cho Văn phòng Thừa phát lại là 07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trường hợp thay đổi Trưởng Văn phòng thì thời hạn cấp Giấy đăng ký hoạt động cho Văn phòng Thừa phát lại là 03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các trường hợp thay đổi khác thì thời hạn cấp Giấy đăng ký hoạt động cho Văn phòng Thừa phát lại là 07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chứng minh việc thay đổi và bản chính Giấy đăng ký hoạt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đề nghị thay đổi nội dung đăng ký hoạt động của Văn phòng Thừa phát lại theo mẫu do Bộ trưởng Bộ Tư pháp quy định;</w:t>
            </w:r>
          </w:p>
        </w:tc>
        <w:tc>
          <w:p/>
          <w:p>
            <w:pPr>
              <w:spacing w:after="0" w:before="0" w:lineRule="auto" w:line="276"/>
              <w:jc w:val="left"/>
            </w:pPr>
            <w:r>
              <w:rPr>
                <w:rFonts w:ascii="Times New Roman" w:hAnsi="Times New Roman" w:cs="Times New Roman" w:eastAsia="Times New Roman"/>
                <w:b w:val="false"/>
                <w:sz w:val="26"/>
              </w:rPr>
              <w:t>20. Giấy đề nghị thay đổi nội dung đăng ký hoặt động VPTPL.docx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đăng ký hoạt động Văn phòng Thừa phát lại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08/2020/NĐ-CP</w:t>
            </w:r>
          </w:p>
        </w:tc>
        <w:tc>
          <w:p/>
          <w:p>
            <w:pPr>
              <w:spacing w:after="0" w:before="0" w:lineRule="auto" w:line="276"/>
              <w:jc w:val="left"/>
            </w:pPr>
            <w:r>
              <w:rPr>
                <w:rFonts w:ascii="Times New Roman" w:hAnsi="Times New Roman" w:cs="Times New Roman" w:eastAsia="Times New Roman"/>
                <w:b w:val="false"/>
                <w:sz w:val="26"/>
              </w:rPr>
              <w:t>Nghị định 08/2020/NĐ-CP</w:t>
            </w:r>
          </w:p>
        </w:tc>
        <w:tc>
          <w:p/>
          <w:p>
            <w:pPr>
              <w:spacing w:after="0" w:before="0" w:lineRule="auto" w:line="276"/>
              <w:jc w:val="left"/>
            </w:pPr>
            <w:r>
              <w:rPr>
                <w:rFonts w:ascii="Times New Roman" w:hAnsi="Times New Roman" w:cs="Times New Roman" w:eastAsia="Times New Roman"/>
                <w:b w:val="false"/>
                <w:sz w:val="26"/>
              </w:rPr>
              <w:t>08-01-2020</w:t>
            </w:r>
          </w:p>
        </w:tc>
        <w:tc>
          <w:p/>
        </w:tc>
      </w:tr>
      <w:tr>
        <w:tc>
          <w:p/>
          <w:p>
            <w:pPr>
              <w:spacing w:after="0" w:before="0" w:lineRule="auto" w:line="276"/>
              <w:jc w:val="left"/>
            </w:pPr>
            <w:r>
              <w:rPr>
                <w:rFonts w:ascii="Times New Roman" w:hAnsi="Times New Roman" w:cs="Times New Roman" w:eastAsia="Times New Roman"/>
                <w:b w:val="false"/>
                <w:sz w:val="26"/>
              </w:rPr>
              <w:t>05/2020/TT-BTP</w:t>
            </w:r>
          </w:p>
        </w:tc>
        <w:tc>
          <w:p/>
          <w:p>
            <w:pPr>
              <w:spacing w:after="0" w:before="0" w:lineRule="auto" w:line="276"/>
              <w:jc w:val="left"/>
            </w:pPr>
            <w:r>
              <w:rPr>
                <w:rFonts w:ascii="Times New Roman" w:hAnsi="Times New Roman" w:cs="Times New Roman" w:eastAsia="Times New Roman"/>
                <w:b w:val="false"/>
                <w:sz w:val="26"/>
              </w:rPr>
              <w:t>Thông tư 05/2020/TT-BTP</w:t>
            </w:r>
          </w:p>
        </w:tc>
        <w:tc>
          <w:p/>
          <w:p>
            <w:pPr>
              <w:spacing w:after="0" w:before="0" w:lineRule="auto" w:line="276"/>
              <w:jc w:val="left"/>
            </w:pPr>
            <w:r>
              <w:rPr>
                <w:rFonts w:ascii="Times New Roman" w:hAnsi="Times New Roman" w:cs="Times New Roman" w:eastAsia="Times New Roman"/>
                <w:b w:val="false"/>
                <w:sz w:val="26"/>
              </w:rPr>
              <w:t>28-08-2020</w:t>
            </w:r>
          </w:p>
        </w:tc>
        <w:tc>
          <w:p/>
        </w:tc>
      </w:tr>
      <w:tr>
        <w:tc>
          <w:p/>
          <w:p>
            <w:pPr>
              <w:spacing w:after="0" w:before="0" w:lineRule="auto" w:line="276"/>
              <w:jc w:val="left"/>
            </w:pPr>
            <w:r>
              <w:rPr>
                <w:rFonts w:ascii="Times New Roman" w:hAnsi="Times New Roman" w:cs="Times New Roman" w:eastAsia="Times New Roman"/>
                <w:b w:val="false"/>
                <w:sz w:val="26"/>
              </w:rPr>
              <w:t>03/2024/TT-BTP</w:t>
            </w:r>
          </w:p>
        </w:tc>
        <w:tc>
          <w:p/>
          <w:p>
            <w:pPr>
              <w:spacing w:after="0" w:before="0" w:lineRule="auto" w:line="276"/>
              <w:jc w:val="left"/>
            </w:pPr>
            <w:r>
              <w:rPr>
                <w:rFonts w:ascii="Times New Roman" w:hAnsi="Times New Roman" w:cs="Times New Roman" w:eastAsia="Times New Roman"/>
                <w:b w:val="false"/>
                <w:sz w:val="26"/>
              </w:rPr>
              <w:t>Thông tư số 03/2024/TT-BTP ngày 15/5/2024 của Bộ trưởng Bộ Tư pháp sửa đổi, bổ sung 08 thông tư liên quan đến thủ tục hành chính trong lĩnh vực bổ trợ tư pháp.</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Khi thay đổi một trong các nội dung đăng ký hoạt động của Văn phòng Thừa phát lại bao gồm: tên, địa chỉ trụ sở của Văn phòng Thừa phát lại, họ tên Trưởng Văn phòng Thừa phát lại, danh sách Thừa phát lại hợp danh và danh sách Thừa phát lại làm việc theo chế độ hợp đồng lao động (nếu có) của Văn phòng Thừa phát lại thì phải đăng ký thay đổi.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2026-05-22T15:53:11Z</dcterms:created>
  <dc:creator>Apache POI</dc:creator>
</cp:coreProperties>
</file>