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thay đổi nội dung đăng ký hoạt động sau khi hợp nhất, sáp nhập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hợp nhất gửi hồ sơ đăng ký hoạt động đến Trung tâm Phục vụ hành chính công tỉnh Điện Biên
Văn phòng Thừa phát lại nhận sáp nhập gửi hồ sơ đăng ký thay đổi nội dung đăng ký hoạt động đến Sở Tư pháp nơi cho phép sáp nhập;
- Sở Tư pháp cấp Giấy đăng ký hoạt động cho Văn phòng Thừa phát lại hợp nhất, nhận sáp nhập;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cho phép hợp nhất, Quyết định cho phép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trụ sở của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chụp kèm bản chính Quyết định bổ nhiệm, bổ nhiệm lại của các Thừa phát lại đang hành nghề tại Văn phòng Thừa phát lại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hoạt động, Giấy đề nghị thay đổi nội dung đăng ký hoạt động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18. Giay de nghi dang ky hoat dong VPTPL.doc</w:t>
            </w:r>
          </w:p>
          <w:p>
            <w:pPr>
              <w:spacing w:after="0" w:before="0" w:lineRule="auto" w:line="276"/>
              <w:jc w:val="left"/>
            </w:pPr>
            <w:r>
              <w:rPr>
                <w:rFonts w:ascii="Times New Roman" w:hAnsi="Times New Roman" w:cs="Times New Roman" w:eastAsia="Times New Roman"/>
                <w:b w:val="false"/>
                <w:sz w:val="26"/>
              </w:rPr>
              <w:t>20. Giấy đề nghị thay đổi nội dung đăng ký hoặt động VPTPL.docx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15 ngày, kể từ ngày nhận được Quyết định cho phép hợp nhất, Văn phòng Thừa phát lại hợp nhất phải đăng ký hoạt động;
- Trong thời hạn 15 ngày, kể từ ngày nhận được Quyết định cho phép sáp nhập, Văn phòng Thừa phát lại nhận sáp nhập phải đăng ký thay đổi nội dung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2026-05-22T15:48:06Z</dcterms:created>
  <dc:creator>Apache POI</dc:creator>
</cp:coreProperties>
</file>