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Lập danh sách đối tượng tham gia bảo hiểm y tế do Bộ Lao động – Thương binh và Xã hội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đối tượng đang được nuôi dưỡng thường xuyên trong Cơ sở nuôi dưỡng, điều dưỡng thương binh và người có công với cách mạng, Cơ sở trợ giúp xã hội (sau đây gọi là Cơ sở nuôi dưỡng):</w:t>
      </w:r>
    </w:p>
    <w:p>
      <w:pPr>
        <w:spacing w:after="0" w:before="0" w:lineRule="auto" w:line="276"/>
        <w:jc w:val="both"/>
      </w:pPr>
      <w:r>
        <w:rPr>
          <w:rFonts w:ascii="Times New Roman" w:hAnsi="Times New Roman" w:cs="Times New Roman" w:eastAsia="Times New Roman"/>
          <w:b w:val="false"/>
          <w:sz w:val="26"/>
        </w:rPr>
        <w:t>Bước 1: Cơ sở nuôi dưỡng lập danh sách (theo Mẫu số 2 quy định tại Nghị định số 146/2018/NĐ-CP) gửi cơ quan Bảo hiểm xã hội cấp huyện.
+ Địa chỉ tiếp nhận hồ sơ và trả kết quả: Bộ phận tiếp nhận và trả kết quả cơ quan Bảo hiểm xã hội cấp huyện.
+ Thời gian tiếp nhận hồ sơ và hẹn trả kết quả: Vào giờ hành chính tất cả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Bước 2: Trong thời gian 10 (mười) ngày làm việc, kể từ ngày nhận danh sách hợp lệ, cơ quan Bảo hiểm xã hội cấp huyện có trách nhiệm kiểm tra và thực hiện cấp thẻ bảo hiểm y tế cho đối tượng.</w:t>
      </w:r>
    </w:p>
    <w:p>
      <w:pPr>
        <w:spacing w:after="0" w:before="0" w:lineRule="auto" w:line="276"/>
        <w:jc w:val="both"/>
      </w:pPr>
      <w:r>
        <w:rPr>
          <w:rFonts w:ascii="Times New Roman" w:hAnsi="Times New Roman" w:cs="Times New Roman" w:eastAsia="Times New Roman"/>
          <w:b w:val="false"/>
          <w:sz w:val="26"/>
        </w:rPr>
        <w:t>Bước 3: Cơ quan Bảo hiểm xã hội cấp huyện chuyển danh sách kèm theo thẻ bảo hiểm y tế của đối tượng cho Cơ sở nuôi dưỡng.</w:t>
      </w:r>
    </w:p>
    <w:p>
      <w:pPr>
        <w:shd w:val="clear" w:color="auto" w:fill="F2F6F9"/>
        <w:spacing w:after="0" w:before="120" w:lineRule="auto" w:line="276"/>
        <w:jc w:val="both"/>
      </w:pPr>
      <w:r>
        <w:rPr>
          <w:rFonts w:ascii="Times New Roman" w:hAnsi="Times New Roman" w:cs="Times New Roman" w:eastAsia="Times New Roman"/>
          <w:b w:val="true"/>
          <w:sz w:val="26"/>
        </w:rPr>
        <w:t>b) Đối với học sinh, sinh viên đang theo học tại Cơ sở giáo dục nghề nghiệp do Bộ Lao động - Thương binh và Xã hội quản lý:</w:t>
      </w:r>
    </w:p>
    <w:p>
      <w:pPr>
        <w:spacing w:after="0" w:before="0" w:lineRule="auto" w:line="276"/>
        <w:jc w:val="both"/>
      </w:pPr>
      <w:r>
        <w:rPr>
          <w:rFonts w:ascii="Times New Roman" w:hAnsi="Times New Roman" w:cs="Times New Roman" w:eastAsia="Times New Roman"/>
          <w:b w:val="false"/>
          <w:sz w:val="26"/>
        </w:rPr>
        <w:t>Bước 1: Cơ sở giáo dục nghề nghiệp lập danh sách (theo Mẫu số 2 quy định tại Nghị định số 146/2018/NĐ-CP) gửi cơ quan Bảo hiểm xã hội cấp huyện.
+ Địa chỉ tiếp nhận hồ sơ và trả kết quả: Bộ phận tiếp nhận và trả kết quả cơ quan Bảo hiểm xã hội cấp huyện.
+ Thời gian tiếp nhận hồ sơ và hẹn trả kết quả: Vào giờ hành chính tất cả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Bước 2: Trong thời hạn 10 (mười) ngày làm việc, kể từ ngày nhận danh sách hợp lệ, cơ quan Bảo hiểm xã hội cấp huyện kiểm tra và thực hiện cấp thẻ bảo hiểm y tế cho đối tượng.</w:t>
      </w:r>
    </w:p>
    <w:p>
      <w:pPr>
        <w:spacing w:after="0" w:before="0" w:lineRule="auto" w:line="276"/>
        <w:jc w:val="both"/>
      </w:pPr>
      <w:r>
        <w:rPr>
          <w:rFonts w:ascii="Times New Roman" w:hAnsi="Times New Roman" w:cs="Times New Roman" w:eastAsia="Times New Roman"/>
          <w:b w:val="false"/>
          <w:sz w:val="26"/>
        </w:rPr>
        <w:t>Bước 3: Cơ quan Bảo hiểm xã hội cấp huyện chuyển danh sách kèm theo thẻ bảo hiểm y tế của đối tượng cho Cơ sở giáo dục nghề nghiệp để bàn giao cho đối tượng.
* Ghi chú: Đối với đối tượng đang sinh sống tại cộng đồng, việc lập danh sách sẽ do người làm công tác Lao động - Thương binh và Xã hội cấp xã hoặc người được phân công thực hiện theo quy định tại Điều 5 Thông tư số 30/2019/TT-BLĐTBXH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đối tượng tham gia bảo hiểm y tế (theo Mẫu số 02 ban hành kèm theo Nghị định số 146/2018/NĐ-CP).</w:t>
            </w:r>
          </w:p>
        </w:tc>
        <w:tc>
          <w:p/>
          <w:p>
            <w:pPr>
              <w:spacing w:after="0" w:before="0" w:lineRule="auto" w:line="276"/>
              <w:jc w:val="left"/>
            </w:pPr>
            <w:r>
              <w:rPr>
                <w:rFonts w:ascii="Times New Roman" w:hAnsi="Times New Roman" w:cs="Times New Roman" w:eastAsia="Times New Roman"/>
                <w:b w:val="false"/>
                <w:sz w:val="26"/>
              </w:rPr>
              <w:t>Mau so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đoàn cơ quan BHXH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đoàn cơ quan BHXH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cơ quan Bảo hiểm xã hội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Lao động - Thương binh và Xã hội - tỉnh Quảng Bình, UBND cấp xã - tỉnh Quảng Trị</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Nghị định 146/2018/NĐ-CP 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30/2019/TT-BLĐTBXH</w:t>
            </w:r>
          </w:p>
        </w:tc>
        <w:tc>
          <w:p/>
          <w:p>
            <w:pPr>
              <w:spacing w:after="0" w:before="0" w:lineRule="auto" w:line="276"/>
              <w:jc w:val="left"/>
            </w:pPr>
            <w:r>
              <w:rPr>
                <w:rFonts w:ascii="Times New Roman" w:hAnsi="Times New Roman" w:cs="Times New Roman" w:eastAsia="Times New Roman"/>
                <w:b w:val="false"/>
                <w:sz w:val="26"/>
              </w:rPr>
              <w:t>Thông tư 30/2019/TT-BLĐTBXH</w:t>
            </w:r>
          </w:p>
        </w:tc>
        <w:tc>
          <w:p/>
          <w:p>
            <w:pPr>
              <w:spacing w:after="0" w:before="0" w:lineRule="auto" w:line="276"/>
              <w:jc w:val="left"/>
            </w:pPr>
            <w:r>
              <w:rPr>
                <w:rFonts w:ascii="Times New Roman" w:hAnsi="Times New Roman" w:cs="Times New Roman" w:eastAsia="Times New Roman"/>
                <w:b w:val="false"/>
                <w:sz w:val="26"/>
              </w:rPr>
              <w:t>26-12-2019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tham gia bảo hiểm y tế theo quy định tại Điều 2 Thông tư số 30/2019/TT-BLĐTBXH đang được nuôi dưỡng thường xuyên trong Cơ sở nuôi dưỡng hoặc đang theo học tại Cơ sở giáo dục nghề nghiệp do Bộ Lao động - Thương binh và Xã hội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2026-05-02T10:21:51Z</dcterms:created>
  <dc:creator>Apache POI</dc:creator>
</cp:coreProperties>
</file>