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khám, chữa bệnh nghề nghiệp cho người lao động phát hiện bị bệnh nghề nghiệp khi đã nghỉ hưu hoặc không còn làm việc trong các nghề, công việc có nguy cơ bị bệnh nghề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vệ sinh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hoặc người sử dụng lao động nơi người lao động đang làm việc nộp 01 bộ hồ sơ theo quy định đến Sở Nội vụ
- Bước 2: Sở Nội vụ tiếp nhận thẩm định hồ sơ và quyết định việc hỗ trợ. Nếu không hỗ trợ trả lời bằng văn bản và nêu rõ lý do.
- Bước 3: Sở Nội vụ gửi quyết định kèm danh sách dữ liệu hỗ trợ đến cơ quan Bảo hiểm xã hội thực hiện chi trả kinh phí hỗ trợ theo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theo quy định Sở Nội vụ tiến hành thẩm định hồ sơ, quyết định việc hỗ trợ và gửi quyết định (kèm theo dữ liệu danh sách hỗ trợ) cho cơ quan bảo hiểm xã hội.
- Trong thời hạn 05 ngày làm việc, kể từ ngày nhận được quyết định hỗ trợ của Sở Nội vụ, cơ quan bảo hiểm xã hội có trách nhiệm chi trả kinh phí hỗ trợ khám, chữa bệnh nghề nghiệp cho người lao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theo quy định Sở Nội vụ tiến hành thẩm định hồ sơ, quyết định việc hỗ trợ và gửi quyết định (kèm theo dữ liệu danh sách hỗ trợ) cho cơ quan bảo hiểm xã hội.
- Trong thời hạn 05 ngày làm việc, kể từ ngày nhận được quyết định hỗ trợ của Sở Nội vụ, cơ quan bảo hiểm xã hội có trách nhiệm chi trả kinh phí hỗ trợ khám, chữa bệnh nghề nghiệp cho người lao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chi phí khám, chữa bệnh nghề nghiệp của người lao động theo Mẫu số 02 tại Phụ lục của Nghị định số 88/2020/NĐ-CP ngày 28/7/2020 đối với người lao động đã nghỉ hưu hoặc thôi việc; hoặc văn bản của người sử dụng lao động nơi người lao động đang làm việc theo Mẫu số 5 của Nghị định số 88/2020/NĐ-CP ngày 28/7/2020 và bản sao có chứng thực hồ sơ xác định mắc bệnh nghề nghiệp của cơ sở khám bệnh, chữa bệnh nghề nghiệp, đối với trường hợp người lao động chuyển đến làm việc cho người sử dụng lao động khác,,</w:t>
            </w:r>
          </w:p>
        </w:tc>
        <w:tc>
          <w:p/>
          <w:p>
            <w:pPr>
              <w:spacing w:after="0" w:before="0" w:lineRule="auto" w:line="276"/>
              <w:jc w:val="left"/>
            </w:pPr>
            <w:r>
              <w:rPr>
                <w:rFonts w:ascii="Times New Roman" w:hAnsi="Times New Roman" w:cs="Times New Roman" w:eastAsia="Times New Roman"/>
                <w:b w:val="false"/>
                <w:sz w:val="26"/>
              </w:rPr>
              <w:t>8.Mus02tiPhlccaNghnhs882020.docx</w:t>
            </w:r>
          </w:p>
          <w:p>
            <w:pPr>
              <w:spacing w:after="0" w:before="0" w:lineRule="auto" w:line="276"/>
              <w:jc w:val="left"/>
            </w:pPr>
            <w:r>
              <w:rPr>
                <w:rFonts w:ascii="Times New Roman" w:hAnsi="Times New Roman" w:cs="Times New Roman" w:eastAsia="Times New Roman"/>
                <w:b w:val="false"/>
                <w:sz w:val="26"/>
              </w:rPr>
              <w:t>8.Mus05tiPhlccaNghnhs882020.docx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hồ sơ bệnh nghề nghiệp của cơ sở khám bệnh, chữa bệnh nghề nghiệp và bản sao có chứng thực hồ sơ xác định mắc bệnh nghề nghiệp của cơ sở khám bệnh, chữa bệnh nghề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ra viện hoặc trích sao hồ sơ bệnh án sau khi điều trị bệnh nghề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chứng từ thanh toán các chi phí khám, điều trị bệnh nghề nghiệp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việc hỗ trợ kinh phí và thực hiện hỗ trợ kinh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An toàn, Vệ sinh lao động</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88/2020/NĐ-CP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AN TOÀN, VỆ SINH LAO ĐỘNG VỀ BẢO HIỂM TAI NẠN LAO ĐỘNG, BỆNH NGHỀ NGHIỆP BẮT BUỘC</w:t>
            </w:r>
          </w:p>
        </w:tc>
        <w:tc>
          <w:p/>
          <w:p>
            <w:pPr>
              <w:spacing w:after="0" w:before="0" w:lineRule="auto" w:line="276"/>
              <w:jc w:val="left"/>
            </w:pPr>
            <w:r>
              <w:rPr>
                <w:rFonts w:ascii="Times New Roman" w:hAnsi="Times New Roman" w:cs="Times New Roman" w:eastAsia="Times New Roman"/>
                <w:b w:val="false"/>
                <w:sz w:val="26"/>
              </w:rPr>
              <w:t>28-07-2020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phát hiện bị bệnh nghề nghiệp trong khoảng thời gian bảo đảm theo quy định của Bộ trưởng Bộ Y tế.
- Có tham gia bảo hiểm xã hội bắt buộc trong thời gian làm nghề, công việc gây ra bệnh nghề nghiệp.
- Bị suy giảm khả năng lao động từ 5% trở lên do bị bệnh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2026-05-05T15:52:19Z</dcterms:created>
  <dc:creator>Apache POI</dc:creator>
</cp:coreProperties>
</file>