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bảo hiểm tai nạn lao động, bệnh nghề nghiệp của người lao động giao kết hợp đồng lao động với nhiều người sử dụng lao động, gồm: Hỗ trợ chuyển đổi nghề nghiệp; khám bệnh, chữa bệnh nghề nghiệp; phục hồi chức năng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lao động nộp 01 bộ hồ sơ theo quy định cho Sở Nội vụ
- Bước 2: Trong 05 ngày làm việc kể từ ngày nhận đủ hồ sơ, Sở Nội vụ tiến hành thẩm định hồ sơ, quyết định việc hỗ trợ. Nếu không hỗ trợ phải trả lời bằng văn bản cho người sử dụng lao động và nêu rõ lý do.
	- Bước 3: Trong 05 ngày làm việc kể từ ngày nhận được quyết định hỗ trợ của Sở Nội vụ, cơ quan bảo hiểm xã hội có trách nhiệm chi trả kinh phí hỗ trợ cho người sử dụng lao động. Trường hợp không chi trả thì phải trả lời bằng văn bản cho Sở Nội vụ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theo quy định, Sở Nội vụ tiến hành thẩm định hồ sơ, quyết định việc hỗ trợ.
- Trong thời hạn 05 ngày làm việc, kể từ khi nhận được quyết định hỗ trợ của Sở Nội vụ, cơ quan bảo hiểm xã hội có trách nhiệm chi trả kinh phí hỗ trợ đào tạo chuyển đổi nghề nghiệp cho người sử dụng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theo quy định, Sở Nội vụ tiến hành thẩm định hồ sơ, quyết định việc hỗ trợ.
- Trong thời hạn 05 ngày làm việc, kể từ khi nhận được quyết định hỗ trợ của Sở Nội vụ, cơ quan bảo hiểm xã hội có trách nhiệm chi trả kinh phí hỗ trợ đào tạo chuyển đổi nghề nghiệp cho người sử dụng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Hỗ trợ chuyển đổi nghề nghiệp: - Văn bản của người sử dụng lao động đề nghị hỗ trợ kinh phí đào tạo chuyển đổi nghề nghiệp cho người lao động bị tai nạn lao động, bệnh nghề nghiệp theo Mẫu số 03 tại Phụ lục của Nghị định số 88/2020/NĐ-CP ngày 28/7/2020. 	-  Bản sao có chứng thực Biên bản giám định mức suy giảm khả năng lao động của Hội đồng giám định y khoa. 	-  Bản sao có chứng thực các chứng từ thanh toán các chi phí đào tạo theo quy định. 	Hỗ trợ kinh phí khám bệnh nghề nghiệp - Văn bản đề nghị hỗ trợ kinh phí khám bệnh nghề nghiệp theo Mẫu số 05 tại Phụ lục của Nghị định số 88/2020/NĐ-CP ngày 28/7/2020. 	- Bản sao có chứng thực hồ sơ bệnh nghề nghiệp của cơ sở khám bệnh, chữa bệnh nghề nghiệp. 	- Bản sao chứng từ thanh toán các chi phí khám bệnh nghề nghiệp theo quy định. 	Hỗ trợ kinh phí chữa bệnh nghề nghiệp - Văn bản đề nghị hỗ trợ kinh phí chữa bệnh nghề nghiệp cho người lao động theo Mẫu số 07 tại Phụ lục của Nghị định số 88/2020/NĐ-CP ngày 28/7/2020. 	- Bản sao có chứng thực hồ sơ xác định mắc bệnh nghề nghiệp của cơ sở khám bệnh, chữa bệnh nghề nghiệp. 	- Bản sao giấy ra viện hoặc trích sao hồ sơ bệnh án sau khi chữa bệnh nghề nghiệp. 	- Bản sao chứng từ thanh toán chi phí chữa bệnh nghề nghiệp. 	Hỗ trợ kinh phí phục hồi chức năng - Văn bản đề nghị hỗ trợ kinh phí phục hồi chức năng lao động cho người lao động theo Mẫu số 09 tại Phụ lục của Nghị định số 88/2020/NĐ-CP ngày 28/7/2020. 	- Bản sao có chứng thực giấy chuyển viện đến đơn vị phục hồi chức năng lao động của cơ sở khám bệnh, chữa bệnh đối với trường hợp phải chuyển viện; đối với trường hợp bệnh viện có khoa phục hồi chức năng, bản sao có chứng thực bệnh án có nội dung chuyển bệnh nhân về khoa phục hồi chức năng. - Bản sao chứng từ thanh toán chi phí phục hồi chức năng, không bao gồm kinh phí cho trang thiết bị hỗ trợ phục hồi chức năng,,</w:t>
            </w:r>
          </w:p>
        </w:tc>
        <w:tc>
          <w:p/>
          <w:p>
            <w:pPr>
              <w:spacing w:after="0" w:before="0" w:lineRule="auto" w:line="276"/>
              <w:jc w:val="left"/>
            </w:pPr>
            <w:r>
              <w:rPr>
                <w:rFonts w:ascii="Times New Roman" w:hAnsi="Times New Roman" w:cs="Times New Roman" w:eastAsia="Times New Roman"/>
                <w:b w:val="false"/>
                <w:sz w:val="26"/>
              </w:rPr>
              <w:t>6.Mus03tiPhlccaNghnhs882020.docx</w:t>
            </w:r>
          </w:p>
          <w:p>
            <w:pPr>
              <w:spacing w:after="0" w:before="0" w:lineRule="auto" w:line="276"/>
              <w:jc w:val="left"/>
            </w:pPr>
            <w:r>
              <w:rPr>
                <w:rFonts w:ascii="Times New Roman" w:hAnsi="Times New Roman" w:cs="Times New Roman" w:eastAsia="Times New Roman"/>
                <w:b w:val="false"/>
                <w:sz w:val="26"/>
              </w:rPr>
              <w:t>6.Mus07tiPhlccaNghnhs882020.docx</w:t>
            </w:r>
          </w:p>
          <w:p>
            <w:pPr>
              <w:spacing w:after="0" w:before="0" w:lineRule="auto" w:line="276"/>
              <w:jc w:val="left"/>
            </w:pPr>
            <w:r>
              <w:rPr>
                <w:rFonts w:ascii="Times New Roman" w:hAnsi="Times New Roman" w:cs="Times New Roman" w:eastAsia="Times New Roman"/>
                <w:b w:val="false"/>
                <w:sz w:val="26"/>
              </w:rPr>
              <w:t>6.Mus09tiPhlccaNghnhs882020.docx</w:t>
            </w:r>
          </w:p>
          <w:p>
            <w:pPr>
              <w:spacing w:after="0" w:before="0" w:lineRule="auto" w:line="276"/>
              <w:jc w:val="left"/>
            </w:pPr>
            <w:r>
              <w:rPr>
                <w:rFonts w:ascii="Times New Roman" w:hAnsi="Times New Roman" w:cs="Times New Roman" w:eastAsia="Times New Roman"/>
                <w:b w:val="false"/>
                <w:sz w:val="26"/>
              </w:rPr>
              <w:t>6.Mus5tiPhlccaNghnhs882020.docx</w:t>
            </w:r>
          </w:p>
          <w:p>
            <w:pPr>
              <w:spacing w:after="0" w:before="0" w:lineRule="auto" w:line="276"/>
              <w:jc w:val="left"/>
            </w:pPr>
            <w:r>
              <w:rPr>
                <w:rFonts w:ascii="Times New Roman" w:hAnsi="Times New Roman" w:cs="Times New Roman" w:eastAsia="Times New Roman"/>
                <w:b w:val="false"/>
                <w:sz w:val="26"/>
              </w:rPr>
              <w:t>6.Mus11tiPhlccaNghnhs882020.docx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việc hỗ trợ kinh phí và thực hiện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28-07-2020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Hỗ trợ chuyển đổi nghề nghiệp: Người sử dụng lao động được hỗ trợ kinh phí đào tạo nghề để chuyển đổi nghề nghiệp cho người lao động theo quy định tại Điều 55 Luật An toàn, vệ sinh lao động khi người lao động có đủ các điều kiện sau đây:
	- Suy giảm khả năng lao động do bị tai nạn lao động, bệnh nghề nghiệp từ 31% trở lên;
	- Được người sử dụng lao động sắp xếp công việc mới thuộc quyền quản lý phù hợp với sức khỏe, nguyện vọng của người lao động nhưng công việc đó cần phải đào tạo nghề để chuyển đổi;
	- Đang tham gia bảo hiểm tai nạn lao động, bệnh nghề nghiệp theo quy định của pháp luật tại thời điểm bị tai nạn lao động, bệnh nghề nghiệp.
	Hỗ trợ kinh phí khám bệnh nghề nghiệp: Người sử dụng lao động được hỗ trợ kinh phí để khám bệnh nghề nghiệp cho người lao động theo quy định tại điểm a khoản 2 Điều 56 Luật An toàn, vệ sinh lao động khi người lao động có đủ các điều kiện sau đây:
	- Có thời gian đóng bảo hiểm tai nạn lao động, bệnh nghề nghiệp đủ từ 12 tháng trở lên và đang tham gia tính đến tháng liền kề trước tháng đề nghị hỗ trợ kinh phí khám bệnh nghề nghiệp cho người lao động;
	- Đã được phát hiện bệnh nghề nghiệp tại các cơ sở khám bệnh, chữa bệnh nghề nghiệp.
	Hỗ trợ kinh phí chữa bệnh nghề nghiệp: Người lao động được hỗ trợ kinh phí chữa bệnh nghề nghiệp theo quy định tại điểm a khoản 2 Điều 56 Luật An toàn, vệ sinh lao động khi có đủ các điều kiện sau đây:
-  Đã được chẩn đoán bị bệnh nghề nghiệp tại cơ sở khám bệnh, chữa bệnh nghề nghiệp.
-  Đã tham gia bảo hiểm tai nạn lao động, bệnh nghề nghiệp đủ 12 tháng trở lên và đang tham gia tính đến tháng liền kề trước tháng đề nghị hỗ trợ kinh phí chữa bệnh nghề nghiệp.
-  Có tham gia bảo hiểm xã hội bắt buộc trong thời gian làm các nghề, công việc gây bệnh nghề nghiệp.
Hỗ trợ kinh phí phục hồi chức năng: Người lao động được hỗ trợ kinh phí phục hồi chức năng lao động có đủ các điều kiện sau:
	- Được cơ sở khám bệnh, chữa bệnh chỉ định phục hồi chức năng lao động;
	- Suy giảm khả năng lao động từ 31% trở lên do tai nạn lao động, bệnh nghề nghiệp;
	- Đang tham gia bảo hiểm tai nạn lao động, bệnh nghề nghiệp theo quy định của pháp luật tại thời điểm bị tai nạn lao động, bệnh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2026-05-05T15:52:18Z</dcterms:created>
  <dc:creator>Apache POI</dc:creator>
</cp:coreProperties>
</file>