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1.008455.H50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về quy hoạch xây dựng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cá nhân (có nhu cầu cung cấp thông tin quy hoạch bằng văn bản) nộp hồ sơ trực tuyến hoặc trực tiếp tại Trung tâm Giao dịch 1 cửa của UBND các huyện, thị xã, thành phố (sau đây gọi là UBND cấp huyện) hoặc qua dịch vụ bưu chính công ích, thời gian nhận hồ sơ và trả kết quả vào giờ hành chính các ngày làm việc trong tuần (trừ ngày lễ, tết).</w:t>
      </w:r>
    </w:p>
    <w:p>
      <w:pPr>
        <w:spacing w:after="0" w:before="0" w:lineRule="auto" w:line="276"/>
        <w:jc w:val="both"/>
      </w:pPr>
      <w:r>
        <w:rPr>
          <w:rFonts w:ascii="Times New Roman" w:hAnsi="Times New Roman" w:cs="Times New Roman" w:eastAsia="Times New Roman"/>
          <w:b w:val="false"/>
          <w:sz w:val="26"/>
        </w:rPr>
        <w:t>- Bước 2: Cán bộ tiếp nhận hồ sơ tại Trung tâm một cửa liên thông của UBND cấp huyện có trách nhiệm:
+ Tiếp nhận hồ sơ; kiểm tra, hoàn thiện thông tin của Cơ quan, tổ chức, cá nhân nộp hồ sơ. 
+ Xác nhận hình thức nộp hồ sơ: Trực tuyến /hoặc trực tiếp /hoặc qua dịch vụ bưu chính công ích. 
+ Kiểm tra thành phần hồ sơ:
Trường hợp hồ sơ đầy đủ, hợp lệ: Tiếp nhận, lưu trữ hồ sơ điện tử; chuyển Phòng chuyên môn xử lý; gửi Phiếu tiếp nhận hồ sơ hồ sơ và hẹn trả kết quả cho Cơ quan, tổ chức, cá nhân nộp hồ sơ.
Trường hợp hồ sơ chưa đầy đủ, không hợp lệ: Gửi thông báo cho Cơ quan, tổ chức, cá nhân nộp, hướng dẫn bổ sung, hoàn thiện hồ sơ theo yêu cầu.</w:t>
      </w:r>
    </w:p>
    <w:p>
      <w:pPr>
        <w:spacing w:after="0" w:before="0" w:lineRule="auto" w:line="276"/>
        <w:jc w:val="both"/>
      </w:pPr>
      <w:r>
        <w:rPr>
          <w:rFonts w:ascii="Times New Roman" w:hAnsi="Times New Roman" w:cs="Times New Roman" w:eastAsia="Times New Roman"/>
          <w:b w:val="false"/>
          <w:sz w:val="26"/>
        </w:rPr>
        <w:t>- Bước 3: Thời hạn tối đa 15 ngày làm việc kể từ ngày nhận được hồ sơ, Phòng Quản lý đô thị thành phố, thị xã, Phòng Kinh tế và Hạ tầng các huyện (sau đây gọi là Phòng chuyên môn cấp huyện)có trách nhiệm rà soát thông tin về địa điểm xây dựng, chỉ giới xây dựng, chỉ giới đường đỏ, cốt xây dựng, các thông tin khác liên quan đến quy hoạch và tham mưu lãnh đạo UBND cấp huyện quyết định việc cung cấp thông tin quy hoạch cho cơ quan, tổ chức, cá nhân.</w:t>
      </w:r>
    </w:p>
    <w:p>
      <w:pPr>
        <w:spacing w:after="0" w:before="0" w:lineRule="auto" w:line="276"/>
        <w:jc w:val="both"/>
      </w:pPr>
      <w:r>
        <w:rPr>
          <w:rFonts w:ascii="Times New Roman" w:hAnsi="Times New Roman" w:cs="Times New Roman" w:eastAsia="Times New Roman"/>
          <w:b w:val="false"/>
          <w:sz w:val="26"/>
        </w:rPr>
        <w:t>- Bước 4: Công chức tại Trung tâm một cửa liên thông của UBND cấp huyện xác nhận trên phần mềm một cửa điện tử về kết quả đã có tại Bộ phận một cửa; thông báo cho cá nhân, tổ chức đã có kết quả TTHC và mức nộp phí, lệ phí theo hình thức đã đăng ký
Cơ quan, tổ chức, cá nhân nhận kết quả TTHC theo hình thức đã đăng ký: Trực tuyến /hoặc trực tiếp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cung cấp thông tin quy hoạch (trong đó ghi rõ thông tin về vị trí, địa điểm lô đất cần cung cấp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cấp thị xã, thành phố - tỉnh Quảng Bình, Phòng Kinh tế và Hạ tầng cấp huyện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một cửa liên thông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cung cấp thông tin QH về địa điểm xây dựng, chỉ giới xây dựng, chỉ giới đường đỏ, cốt xây dựng và thông tin khác liên quan đến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35/2018/QH14</w:t>
            </w:r>
          </w:p>
        </w:tc>
        <w:tc>
          <w:p/>
          <w:p>
            <w:pPr>
              <w:spacing w:after="0" w:before="0" w:lineRule="auto" w:line="276"/>
              <w:jc w:val="left"/>
            </w:pPr>
            <w:r>
              <w:rPr>
                <w:rFonts w:ascii="Times New Roman" w:hAnsi="Times New Roman" w:cs="Times New Roman" w:eastAsia="Times New Roman"/>
                <w:b w:val="false"/>
                <w:sz w:val="26"/>
              </w:rPr>
              <w:t>Luật 35/2018/QH14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40/2017/QĐ-UBND</w:t>
            </w:r>
          </w:p>
        </w:tc>
        <w:tc>
          <w:p/>
          <w:p>
            <w:pPr>
              <w:spacing w:after="0" w:before="0" w:lineRule="auto" w:line="276"/>
              <w:jc w:val="left"/>
            </w:pPr>
            <w:r>
              <w:rPr>
                <w:rFonts w:ascii="Times New Roman" w:hAnsi="Times New Roman" w:cs="Times New Roman" w:eastAsia="Times New Roman"/>
                <w:b w:val="false"/>
                <w:sz w:val="26"/>
              </w:rPr>
              <w:t>Về việc sửa đổi, bổ sung một số điều của Quy định phân công, phân cấp về lập, thẩm định, phê duyệt, quản lý quy hoạch xây dựng và cấp giấy phép xây dựng trên địa bàn tỉnh Quảng Bình ban hành kèm theo Quyết định số 36/2016/QĐ-UBND ngày 02 tháng 11 năm 2016 của UBND tỉnh</w:t>
            </w:r>
          </w:p>
        </w:tc>
        <w:tc>
          <w:p/>
          <w:p>
            <w:pPr>
              <w:spacing w:after="0" w:before="0" w:lineRule="auto" w:line="276"/>
              <w:jc w:val="left"/>
            </w:pPr>
            <w:r>
              <w:rPr>
                <w:rFonts w:ascii="Times New Roman" w:hAnsi="Times New Roman" w:cs="Times New Roman" w:eastAsia="Times New Roman"/>
                <w:b w:val="false"/>
                <w:sz w:val="26"/>
              </w:rPr>
              <w:t>05-10-2017</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2026-05-04T10:15:53Z</dcterms:created>
  <dc:creator>Apache POI</dc:creator>
</cp:coreProperties>
</file>