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trường tiểu học tư thục, trường trung học cơ sở tư thục, trường phổ thông tư thục có nhiều cấp học có cấp học cao nhất là trung học cơ sở do nhà đầu tư trong nước đầu tư sang trường tiểu học tư thục, trường trung học cơ sở tư thục, trường phổ thông tư thục có nhiều cấp học có cấp học cao nhất là trung học cơ sở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tư thục, trường trung học cơ sở tư thục và trường phổ thông tư thục có nhiều cấp học có cấp học cao nhất là trung học cơ sở do nhà đầu tư trong nước đầu tư và bảo đảm điều kiện hoạt động nộp 01 bộ hồ sơ đến Ủy ban nhân dân cấp xã. Thành phần hồ sơ theo quy định tại khoản 1 Điều 4 Nghị định số 66/2026/NĐ-CP và được nộp bằng hình thức trực tuyến trên Cổng Dịch vụ công quốc gia hoặc qua dịch vụ bưu chính hoặc trực tiếp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Trong thời hạn 13 ngày làm việc tính từ ngày nhận đủ hồ sơ theo quy định, Ủy ban nhân dân cấp xã tổ chức lấy ý kiến các cơ quan, đơn vị có liên quan và thẩm định hồ sơ trình Chủ tịch Ủy ban nhân dân cấp xã quyết định chuyển đổi.
Quyết định chuyển đổi (Mẫu số 03 tại Phụ lục kèm theo Nghị định số 66/2026/NĐ-CP) được công bố công khai trên cổng thông tin điện tử hoặc trang thông tin điện tử của cơ quan ra quyết định chuyển đổi.</w:t>
      </w:r>
    </w:p>
    <w:p>
      <w:pPr>
        <w:spacing w:after="0" w:before="0" w:lineRule="auto" w:line="276"/>
        <w:jc w:val="both"/>
      </w:pPr>
      <w:r>
        <w:rPr>
          <w:rFonts w:ascii="Times New Roman" w:hAnsi="Times New Roman" w:cs="Times New Roman" w:eastAsia="Times New Roman"/>
          <w:b w:val="false"/>
          <w:sz w:val="26"/>
        </w:rPr>
        <w:t>c) Trường hợp hồ sơ không bảo đảm theo quy định, trong thời hạn 03 ngày làm việc tính từ ngày nhận hồ sơ, Ủy ban nhân cấp xã gửi văn bản thông báo cho cơ sở giáo dục phổ thông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đến Trung tâm Phục vụ hành chính công cấp xã. Thời hạn giải quyết: 13 ngày làm việc tính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Thời hạn giải quyết: 13 ngày làm việc tính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đến Trung tâm Phục vụ hành chính công cấp xã. Thời hạn giải quyết: 13 ngày làm việc tính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phổ thông tư thục chuyển sang cơ sở giáo dục phổ thông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cơ sở giáo dục phổ thông tư thục hoạt động không vì lợi nhuận (nếu có); các giấy tờ, tài liệu về đất đai, tài sản, tài chính, tổ chức và nhân sự của cơ sở giáo dục phổ thông tư thục chuyển đổi sang cơ sở giáo dục phổ thông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trường tiểu học tư thục/trường trung học cơ sở tư thục/trường phổ thông tư thục có nhiều cấp học có cấp học cao nhất là trung học cơ sở do nhà đầu tư trong nước đầu tư sang trường tiểu học tư thục/trường trung học cơ sở tư thục/trường phổ thông tư thục có nhiều cấp học có cấp học cao nhất là trung học cơ sở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Giáo dục</w:t>
            </w:r>
          </w:p>
        </w:tc>
        <w:tc>
          <w:p/>
          <w:p>
            <w:pPr>
              <w:spacing w:after="0" w:before="0" w:lineRule="auto" w:line="276"/>
              <w:jc w:val="left"/>
            </w:pPr>
            <w:r>
              <w:rPr>
                <w:rFonts w:ascii="Times New Roman" w:hAnsi="Times New Roman" w:cs="Times New Roman" w:eastAsia="Times New Roman"/>
                <w:b w:val="false"/>
                <w:sz w:val="26"/>
              </w:rPr>
              <w:t>02-03-2026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2026-05-11T11:22:34Z</dcterms:created>
  <dc:creator>Apache POI</dc:creator>
</cp:coreProperties>
</file>