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2.000591.000.00.00.H19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80/QĐ-UBND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chứng nhận đủ điều kiện an toàn thực phẩm đối với cơ sở sản xuất, kinh doanh thực phẩm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An toàn thực phẩm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Cấp tỉnh</w:t>
      </w:r>
    </w:p>
    <w:p>
      <w:pPr>
        <w:spacing w:after="0" w:before="0" w:lineRule="auto" w:line="276"/>
        <w:jc w:val="both"/>
      </w:pPr>
      <w:r>
        <w:rPr>
          <w:rFonts w:ascii="Times New Roman" w:hAnsi="Times New Roman" w:cs="Times New Roman" w:eastAsia="Times New Roman"/>
          <w:b w:val="false"/>
          <w:sz w:val="26"/>
        </w:rPr>
        <w:t>Trình tự thực hiện
- Các cơ sở sản xuất, kinh doanh sản phẩm thực phẩm thuộc trách nhiệm quản lý của Sở Công Thương đăng ký hồ sơ đề nghị cấp Giấy chứng nhận cơ sở đủ điều kiện an toàn thực phẩm với Cơ quan cấp Giấy chứng nhận cơ sở đủ điều kiện an toàn thực phẩm (sau đây gọi là Cơ quan cấp Giấy chứng nhận);
- Các cơ sở sản xuất, kinh doanh thực phẩm quy định tại Khoản 2 Điều 6 Thông tư số 43/2018/TT-BCT ngày 15 tháng 11 năm 2018 của Bộ Công Thương quy định về quản lý an toàn thực phẩm thuộc trách nhiệm của Bộ Công Thương nộp hồ sơ đề nghị cấp Giấy chứng nhận cơ sở đủ điều kiện an toàn thực phẩm cho Cơ quan cấp Giấy chứng nhận
- Thủ tục, quy trình cấp Giấy chứng nhận
+ Tiếp nhận, kiểm tra tính hợp lệ của hồ sơ
Trong thời gian 05 ngày làm việc kể từ ngày tiếp nhận hồ sơ, cơ quan có thẩm quyền tổ chức kiểm tra tính hợp lệ của hồ sơ; trường hợp hồ sơ không hợp lệ, cơ quan có thẩm quyền phải có văn bản thông báo và yêu cầu cơ sở bổ sung hồ sơ. Sau 30 ngày kể từ ngày thông báo yêu cầu bổ sung hồ sơ mà cơ sở không bổ sung hoặc bổ sung không đầy đủ thì hồ sơ không còn giá trị.
+ Thành lập Đoàn thẩm định thực tế tại cơ sở
Trong thời gian 15 ngày làm việc, kể từ ngày có kết quả kiểm tra hồ sơ đầy đủ, hợp lệ, cơ quan có thẩm quyền tổ chức thẩm định thực tế tại cơ sở. Trường hợp cơ quan có thẩm quyền cấp trên ủy quyền thẩm định thực tế tại cơ sở cho cơ quan có thẩm quyền cấp dưới thì phải có văn bản ủy quyền. Sau khi thẩm định, cơ quan có thẩm quyền cấp dưới phải gửi Biên bản thẩm định về cho cơ quan thẩm quyền cấp trên để làm căn cứ cấp Giấy chứng nhận.
Đoàn thẩm định thực tế tại cơ sở do cơ quan có thẩm quyền cấp Giấy chứng nhận hoặc cơ quan được ủy quyền thẩm định ban hành quyết định thành lập. Đoàn thẩm định có từ 03 đến 05 thành viên, trong đó phải có ít nhất 02 thành viên làm công tác chuyên môn về thực phẩm hoặc an toàn thực phẩm (có bằng cấp về thực phẩm hoặc an toàn thực phẩm) hoặc quản lý về an toàn thực phẩm. Đoàn thẩm định thực tế tại cơ sở được mời chuyên gia độc lập có chuyên môn phù hợp tham gia. Trưởng đoàn thẩm định chịu trách nhiệm về kết quả thẩm định thực tế tại cơ sở.
+  Nội dung thẩm định thực tế tại cơ sở
Kiểm tra tính thống nhất của hồ sơ đăng ký cấp Giấy chứng nhận gửi cơ quan có thẩm quyền với hồ sơ gốc lưu tại cơ sở; Thẩm định điều kiện an toàn thực phẩm tại cơ sở theo quy định.
+  Kết quả thẩm định thực tế tại cơ sở
Kết quả thẩm định phải ghi rõ “Đạt” hoặc “Không đạt” hoặc “Chờ hoàn thiện” vào Biên bản thẩm định điều kiện an toàn thực phẩm đối với cơ sở sản xuất thực phẩm, cơ sở kinh doanh thực phẩm hoặc cơ sở vừa sản xuất vừa kinh doanh thực phẩm. 
Trường hợp “Không đạt” hoặc “Chờ hoàn thiện” phải ghi rõ lý do trong Biên bản thẩm định. Trường hợp “Chờ hoàn thiện”, thời hạn khắc phục tối đa là 60 ngày kể từ ngày có biên bản thẩm định. Sau khi đã khắc phục theo yêu cầu của Đoàn thẩm định, cơ sở phải nộp báo cáo kết quả khắc phục và nộp phí thẩm định về cơ quan có thẩm quyền để tổ chức thẩm định lại. Thời hạn thẩm định lại tối đa là 10 ngày làm việc tính từ khi cơ quan có thẩm quyền nhận được báo cáo khắc phục. Sau 60 ngày cơ sở không nộp báo cáo kết quả khắc phục thì hồ sơ đề nghị cấp Giấy chứng nhận cơ sở đủ điều kiện an toàn thực phẩm và kết quả thẩm định trước đó với kết luận “Chờ hoàn thiện” không còn giá trị.
Trường hợp kết quả thẩm định lại “Không đạt” hoặc quá thời hạn khắc phục mà cơ sở không nộp báo cáo kết quả khắc phục, cơ quan có thẩm quyền thông báo bằng văn bản tới cơ quan quản lý địa phương để giám sát và yêu cầu cơ sở không được hoạt động cho đến khi được cấp Giấy chứng nhận. 
Biên bản thẩm định thực tế tại cơ sở được lập thành 02 bản có giá trị như nhau, Đoàn thẩm định giữ 01 bản và cơ sở giữ 01 bản.
+ Cấp Giấy chứng nhận
Trong thời hạn 05 ngày làm việc kể từ ngày có kết quả thẩm định thực tế tại cơ sở là “Đạt”, cơ quan có thẩm quyền cấp Giấy chứng nhận cho cơ sở</w:t>
      </w:r>
    </w:p>
    <w:p>
      <w:pPr>
        <w:shd w:val="clear" w:color="auto" w:fill="F2F6F9"/>
        <w:spacing w:after="0" w:before="120" w:lineRule="auto" w:line="276"/>
        <w:jc w:val="both"/>
      </w:pPr>
      <w:r>
        <w:rPr>
          <w:rFonts w:ascii="Times New Roman" w:hAnsi="Times New Roman" w:cs="Times New Roman" w:eastAsia="Times New Roman"/>
          <w:b w:val="true"/>
          <w:sz w:val="26"/>
        </w:rPr>
        <w:t>Cấp huyện</w:t>
      </w:r>
    </w:p>
    <w:p>
      <w:pPr>
        <w:spacing w:after="0" w:before="0" w:lineRule="auto" w:line="276"/>
        <w:jc w:val="both"/>
      </w:pPr>
      <w:r>
        <w:rPr>
          <w:rFonts w:ascii="Times New Roman" w:hAnsi="Times New Roman" w:cs="Times New Roman" w:eastAsia="Times New Roman"/>
          <w:b w:val="false"/>
          <w:sz w:val="26"/>
        </w:rPr>
        <w:t>Ủy ban nhân dân cấp huyện: Tổ chức cấp Giấy chứng nhận cơ sở đủ điều kiện an toàn thực phẩm đối với chuỗi siêu thị mini và chuỗi cửa hàng tiện ích có diện tích tương đương siêu thị mini theo quy định của pháp luật, các cửa hàng kinh doanh thực phẩm tổng hợp có diện tích tương đương siêu thị mini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t>Phí : 1000000 Đồng</w:t>
              <w:t xml:space="preserve"> (1.000.000 lần/cơ sở (đối với cơ sở kinh doanh))</w:t>
            </w:r>
          </w:p>
          <w:p>
            <w:pPr>
              <w:spacing w:after="0" w:before="0" w:lineRule="auto" w:line="276"/>
              <w:jc w:val="left"/>
            </w:pPr>
            <w:r>
              <w:rPr>
                <w:rFonts w:ascii="Times New Roman" w:hAnsi="Times New Roman" w:cs="Times New Roman" w:eastAsia="Times New Roman"/>
                <w:b w:val="false"/>
                <w:sz w:val="26"/>
              </w:rPr>
              <w:t>Phí : 2500000 Đồng</w:t>
              <w:t xml:space="preserve"> (2.500.000 lần/ cơ sở (đối với cơ sở sản xuất))</w:t>
            </w:r>
          </w:p>
        </w:tc>
        <w:tc>
          <w:p/>
          <w:p>
            <w:pPr>
              <w:spacing w:after="0" w:before="0" w:lineRule="auto" w:line="276"/>
              <w:jc w:val="left"/>
            </w:pPr>
            <w:r>
              <w:rPr>
                <w:rFonts w:ascii="Times New Roman" w:hAnsi="Times New Roman" w:cs="Times New Roman" w:eastAsia="Times New Roman"/>
                <w:b w:val="false"/>
                <w:sz w:val="26"/>
              </w:rPr>
              <w:t>Đối với cấp huyện: 25 (hai mươi lăm) ngày làm việc kể từ ngày nhận đủ hồ sơ hợp lệ.
Nộp hồ sơ trực tiếp hoặc gửi qua bưu điện đến Bộ phận tiếp nhận và trả kết quả của UBND cấp huyện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23 Ngày làm việc</w:t>
            </w:r>
          </w:p>
        </w:tc>
        <w:tc>
          <w:p/>
          <w:p>
            <w:pPr>
              <w:spacing w:after="0" w:before="0" w:lineRule="auto" w:line="276"/>
              <w:jc w:val="left"/>
            </w:pPr>
            <w:r>
              <w:rPr>
                <w:rFonts w:ascii="Times New Roman" w:hAnsi="Times New Roman" w:cs="Times New Roman" w:eastAsia="Times New Roman"/>
                <w:b w:val="false"/>
                <w:sz w:val="26"/>
              </w:rPr>
              <w:t>Phí : 1000000 Đồng</w:t>
              <w:t xml:space="preserve"> (1.000.000 lần/cơ sở (đối với cơ sở kinh doanh))</w:t>
            </w:r>
          </w:p>
          <w:p>
            <w:pPr>
              <w:spacing w:after="0" w:before="0" w:lineRule="auto" w:line="276"/>
              <w:jc w:val="left"/>
            </w:pPr>
            <w:r>
              <w:rPr>
                <w:rFonts w:ascii="Times New Roman" w:hAnsi="Times New Roman" w:cs="Times New Roman" w:eastAsia="Times New Roman"/>
                <w:b w:val="false"/>
                <w:sz w:val="26"/>
              </w:rPr>
              <w:t>Phí : 2500000 Đồng</w:t>
              <w:t xml:space="preserve"> (2.500.000 lần/ cơ sở (đối với cơ sở sản xuất))</w:t>
            </w:r>
          </w:p>
        </w:tc>
        <w:tc>
          <w:p/>
          <w:p>
            <w:pPr>
              <w:spacing w:after="0" w:before="0" w:lineRule="auto" w:line="276"/>
              <w:jc w:val="left"/>
            </w:pPr>
            <w:r>
              <w:rPr>
                <w:rFonts w:ascii="Times New Roman" w:hAnsi="Times New Roman" w:cs="Times New Roman" w:eastAsia="Times New Roman"/>
                <w:b w:val="false"/>
                <w:sz w:val="26"/>
              </w:rPr>
              <w:t>Đối với cấp tỉnh: 23 (hai mươi ba) ngày làm việc kể từ ngày nhận đủ hồ sơ hợp lệ
Nộp hồ sơ qua cổng dịch vụ công trực tuyến tại địa chỉ: dichvucong.dongnai.gov.vn hoặc https://dichvucong.gov.vn (nếu có)</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t>Phí : 1000000 Đồng</w:t>
              <w:t xml:space="preserve"> (1.000.000 lần/cơ sở (đối với cơ sở kinh doanh))</w:t>
            </w:r>
          </w:p>
          <w:p>
            <w:pPr>
              <w:spacing w:after="0" w:before="0" w:lineRule="auto" w:line="276"/>
              <w:jc w:val="left"/>
            </w:pPr>
            <w:r>
              <w:rPr>
                <w:rFonts w:ascii="Times New Roman" w:hAnsi="Times New Roman" w:cs="Times New Roman" w:eastAsia="Times New Roman"/>
                <w:b w:val="false"/>
                <w:sz w:val="26"/>
              </w:rPr>
              <w:t>Phí : 2500000 Đồng</w:t>
              <w:t xml:space="preserve"> (2.500.000 lần/ cơ sở (đối với cơ sở sản xuất).)</w:t>
            </w:r>
          </w:p>
        </w:tc>
        <w:tc>
          <w:p/>
          <w:p>
            <w:pPr>
              <w:spacing w:after="0" w:before="0" w:lineRule="auto" w:line="276"/>
              <w:jc w:val="left"/>
            </w:pPr>
            <w:r>
              <w:rPr>
                <w:rFonts w:ascii="Times New Roman" w:hAnsi="Times New Roman" w:cs="Times New Roman" w:eastAsia="Times New Roman"/>
                <w:b w:val="false"/>
                <w:sz w:val="26"/>
              </w:rPr>
              <w:t>Đối với cấp huyện: 25 (hai mươi lăm) ngày làm việc kể từ ngày nhận đủ hồ sơ hợp lệ.
Nộp trực tuyến tại địa chỉ: dichvucong.dongnai.gov.vn hoặc https://dichvucong.gov.vn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23 Ngày làm việc</w:t>
            </w:r>
          </w:p>
        </w:tc>
        <w:tc>
          <w:p/>
          <w:p>
            <w:pPr>
              <w:spacing w:after="0" w:before="0" w:lineRule="auto" w:line="276"/>
              <w:jc w:val="left"/>
            </w:pPr>
            <w:r>
              <w:rPr>
                <w:rFonts w:ascii="Times New Roman" w:hAnsi="Times New Roman" w:cs="Times New Roman" w:eastAsia="Times New Roman"/>
                <w:b w:val="false"/>
                <w:sz w:val="26"/>
              </w:rPr>
              <w:t>Phí : 2500000 Đồng</w:t>
              <w:t xml:space="preserve"> (2.500.000 lần/ cơ sở (đối với cơ sở sản xuất))</w:t>
            </w:r>
          </w:p>
          <w:p>
            <w:pPr>
              <w:spacing w:after="0" w:before="0" w:lineRule="auto" w:line="276"/>
              <w:jc w:val="left"/>
            </w:pPr>
            <w:r>
              <w:rPr>
                <w:rFonts w:ascii="Times New Roman" w:hAnsi="Times New Roman" w:cs="Times New Roman" w:eastAsia="Times New Roman"/>
                <w:b w:val="false"/>
                <w:sz w:val="26"/>
              </w:rPr>
              <w:t>Phí : 1000000 Đồng</w:t>
              <w:t xml:space="preserve"> (1.000.000 lần/cơ sở (đối với cơ sở kinh doanh))</w:t>
            </w:r>
          </w:p>
        </w:tc>
        <w:tc>
          <w:p/>
          <w:p>
            <w:pPr>
              <w:spacing w:after="0" w:before="0" w:lineRule="auto" w:line="276"/>
              <w:jc w:val="left"/>
            </w:pPr>
            <w:r>
              <w:rPr>
                <w:rFonts w:ascii="Times New Roman" w:hAnsi="Times New Roman" w:cs="Times New Roman" w:eastAsia="Times New Roman"/>
                <w:b w:val="false"/>
                <w:sz w:val="26"/>
              </w:rPr>
              <w:t>Đối với cấp tỉnh: 23 (hai mươi ba) ngày làm việc kể từ ngày nhận đủ hồ sơ hợp lệ
Nộp hồ sơ qua qua đường bưu điện đến Sở Công Thương (Tầng 4 – Trụ sở Khối nhà nước tỉnh, địa chỉ: Số 02, Nguyễn Văn Trị, phường Thanh Bình, thành phố Biên Hòa, tỉnh Đồng Nai)</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theo Mẫu số 01a Mục I tại Phụ lục ban hành kèm theo Nghị định số 17/2020/NĐ-CP ngày 05 tháng 02 năm 2020 sửa đổi, bổ sung một số điều của các Nghị định liên quan đến điều kiện đầu tư kinh doanh thuộc lĩnh vực quản lý nhà nước của Bộ Công Thương;</w:t>
            </w:r>
          </w:p>
        </w:tc>
        <w:tc>
          <w:p/>
          <w:p>
            <w:pPr>
              <w:spacing w:after="0" w:before="0" w:lineRule="auto" w:line="276"/>
              <w:jc w:val="left"/>
            </w:pPr>
            <w:r>
              <w:rPr>
                <w:rFonts w:ascii="Times New Roman" w:hAnsi="Times New Roman" w:cs="Times New Roman" w:eastAsia="Times New Roman"/>
                <w:b w:val="false"/>
                <w:sz w:val="26"/>
              </w:rPr>
              <w:t>Mẫu số 01a.docx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Bảo sao Giấy chứng nhận đăng ký kinh doanh hoặc Giấy chứng nhận đăng ký doanh nghiệp hoặc Giấy chứng nhận đầu tư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thuyết minh về cơ sở vật chất, trang thiết bị, dụng cụ bảo đảm điều kiện vệ sinh an toàn thực phẩm theo Mẫu số 02a (đối với cơ sở sản xuất), Mẫu số 02b (đối với cơ sở kinh doanh) hoặc cả Mẫu số 02a và Mẫu số 02b (đối với cơ sở vừa sản xuất vừa kinh doanh) Mục I tại Phụ lục ban hành kèm theo Nghị định số 17/2020/NĐ-CP ngày 05 tháng 02 năm 2020 sửa đổi, bổ sung một số điều của các Nghị định liên quan đến điều khiện đầu tư kinh doanh thuộc lĩnh vực quản lý nhà nước của Bộ Công Thương;</w:t>
            </w:r>
          </w:p>
        </w:tc>
        <w:tc>
          <w:p/>
          <w:p>
            <w:pPr>
              <w:spacing w:after="0" w:before="0" w:lineRule="auto" w:line="276"/>
              <w:jc w:val="left"/>
            </w:pPr>
            <w:r>
              <w:rPr>
                <w:rFonts w:ascii="Times New Roman" w:hAnsi="Times New Roman" w:cs="Times New Roman" w:eastAsia="Times New Roman"/>
                <w:b w:val="false"/>
                <w:sz w:val="26"/>
              </w:rPr>
              <w:t>Mẫu số 02a.docx</w:t>
            </w:r>
          </w:p>
          <w:p>
            <w:pPr>
              <w:spacing w:after="0" w:before="0" w:lineRule="auto" w:line="276"/>
              <w:jc w:val="left"/>
            </w:pPr>
            <w:r>
              <w:rPr>
                <w:rFonts w:ascii="Times New Roman" w:hAnsi="Times New Roman" w:cs="Times New Roman" w:eastAsia="Times New Roman"/>
                <w:b w:val="false"/>
                <w:sz w:val="26"/>
              </w:rPr>
              <w:t>Mẫu số 02b.docx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Danh sách tổng hợp đủ sức khỏe do chủ cơ sở xác nhận hoặc giấy xác nhận đủ sức khỏe của chủ cơ sở và người trực tiếp sản xuất, kinh doanh thực phẩm do cơ sở y tế cấp huyện trở lên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xác nhận đã được tập huấn kiến thức về an toàn thực phẩm của người trực tiếp sản xuất, kinh doanh thực phẩm có xác nhận của cơ sở.</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Báo cáo kết quả khắc phục theo Mẫu số 04 Mục I tại Phụ lục ban hành kèm theo Nghị định số 17/2020/NĐ-CP ngày 05 tháng 02 năm 2020 sửa đổi, bổ sung một số điều của các Nghị định liên quan đến điều kiện đầu tư kinh doanh thuộc lĩnh vực quản lý nhà nước của Bộ Công Thương.</w:t>
            </w:r>
          </w:p>
        </w:tc>
        <w:tc>
          <w:p/>
          <w:p>
            <w:pPr>
              <w:spacing w:after="0" w:before="0" w:lineRule="auto" w:line="276"/>
              <w:jc w:val="left"/>
            </w:pPr>
            <w:r>
              <w:rPr>
                <w:rFonts w:ascii="Times New Roman" w:hAnsi="Times New Roman" w:cs="Times New Roman" w:eastAsia="Times New Roman"/>
                <w:b w:val="false"/>
                <w:sz w:val="26"/>
              </w:rPr>
              <w:t>Mẫu số 04.docx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Cơ quan giải quyết TTHC khai thác, sử dụng thông tin có trong Cơ sở dữ liệu quốc gia về đăng ký doanh nghiệp để thay thế thành phần hồ sơ Bản sao giấy chứng nhận đăng ký doanh nghiệp.  Trường hợp Cơ quan giải quyết TTHC không khai thác được hoặc khai thác không đầy đủ dữ liệu doanh nghiệp trên Cơ sở dữ liệu quốc gia về đăng ký doanh nghiệp, Cơ quan giải quyết TTHC yêu cầu doanh nghiệp bổ sung Bản sao Giấy chứng nhận đăng ký doanh nghiệp theo quy định tại Điều 8 Nghị quyết 66.7/2025/NQ-CP ngày 15/11/2025 của Chính phủ quy định cắt giảm,  đơn giản hóa thủ tục hành chính dựa trên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Phòng kinh tế, Phòng Kinh tế hạ tầng, Sở Công Thương thành phố Đồng Nai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Công Thương thành phố Đồng Nai, UBND cấp huyện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Cấp tỉnh: Nộp hồ sơ qua đường bưu điện đến Sở Công Thương (Tầng 4 – Trụ sở Khối nhà nước tỉnh, địa chỉ: Số 02, Nguyễn Văn Trị, phường Thanh Bình, thành phố Biên Hòa, tỉnh Đồng Nai) hoặc qua cổng dịch vụ công trực tuyến tại địa chỉ: dichvucong.dongnai.gov.vn hoặc https://dichvucong.gov.vn (nếu có); Cấp huyện: - Nộp hồ sơ trực tiếp hoặc gửi qua bưu điện đến Bộ phận tiếp nhận và trả kết quả của UBND cấp huyện. - Nộp trực tuyến tại địa chỉ: dichvucong.dongnai.gov.vn hoặc https://dichvucong.gov.vn.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CƠ SỞ ĐỦ ĐIỀU KIỆN AN TOÀN THỰC PHẨM</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55/2010/QH12</w:t>
            </w:r>
          </w:p>
        </w:tc>
        <w:tc>
          <w:p/>
          <w:p>
            <w:pPr>
              <w:spacing w:after="0" w:before="0" w:lineRule="auto" w:line="276"/>
              <w:jc w:val="left"/>
            </w:pPr>
            <w:r>
              <w:rPr>
                <w:rFonts w:ascii="Times New Roman" w:hAnsi="Times New Roman" w:cs="Times New Roman" w:eastAsia="Times New Roman"/>
                <w:b w:val="false"/>
                <w:sz w:val="26"/>
              </w:rPr>
              <w:t>Luật 55/2010/QH12</w:t>
            </w:r>
          </w:p>
        </w:tc>
        <w:tc>
          <w:p/>
          <w:p>
            <w:pPr>
              <w:spacing w:after="0" w:before="0" w:lineRule="auto" w:line="276"/>
              <w:jc w:val="left"/>
            </w:pPr>
            <w:r>
              <w:rPr>
                <w:rFonts w:ascii="Times New Roman" w:hAnsi="Times New Roman" w:cs="Times New Roman" w:eastAsia="Times New Roman"/>
                <w:b w:val="false"/>
                <w:sz w:val="26"/>
              </w:rPr>
              <w:t>17-06-2010</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15/2018/NĐ-CP</w:t>
            </w:r>
          </w:p>
        </w:tc>
        <w:tc>
          <w:p/>
          <w:p>
            <w:pPr>
              <w:spacing w:after="0" w:before="0" w:lineRule="auto" w:line="276"/>
              <w:jc w:val="left"/>
            </w:pPr>
            <w:r>
              <w:rPr>
                <w:rFonts w:ascii="Times New Roman" w:hAnsi="Times New Roman" w:cs="Times New Roman" w:eastAsia="Times New Roman"/>
                <w:b w:val="false"/>
                <w:sz w:val="26"/>
              </w:rPr>
              <w:t>Quy định chi tiết thi hành một số điều của Luật an toàn thực phẩm</w:t>
            </w:r>
          </w:p>
        </w:tc>
        <w:tc>
          <w:p/>
          <w:p>
            <w:pPr>
              <w:spacing w:after="0" w:before="0" w:lineRule="auto" w:line="276"/>
              <w:jc w:val="left"/>
            </w:pPr>
            <w:r>
              <w:rPr>
                <w:rFonts w:ascii="Times New Roman" w:hAnsi="Times New Roman" w:cs="Times New Roman" w:eastAsia="Times New Roman"/>
                <w:b w:val="false"/>
                <w:sz w:val="26"/>
              </w:rPr>
              <w:t>02-02-2018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Thông tư 43/2018/TT-BCT</w:t>
            </w:r>
          </w:p>
        </w:tc>
        <w:tc>
          <w:p/>
          <w:p>
            <w:pPr>
              <w:spacing w:after="0" w:before="0" w:lineRule="auto" w:line="276"/>
              <w:jc w:val="left"/>
            </w:pPr>
            <w:r>
              <w:rPr>
                <w:rFonts w:ascii="Times New Roman" w:hAnsi="Times New Roman" w:cs="Times New Roman" w:eastAsia="Times New Roman"/>
                <w:b w:val="false"/>
                <w:sz w:val="26"/>
              </w:rPr>
              <w:t>Thông tư 43/2018/TT-BCT ngày 15/11/2018 của Bộ Công Thương quy định về quản lý an toàn thực phẩm thuộc trách nhiệm của Bộ Công Thương.</w:t>
            </w:r>
          </w:p>
        </w:tc>
        <w:tc>
          <w:p/>
          <w:p>
            <w:pPr>
              <w:spacing w:after="0" w:before="0" w:lineRule="auto" w:line="276"/>
              <w:jc w:val="left"/>
            </w:pPr>
            <w:r>
              <w:rPr>
                <w:rFonts w:ascii="Times New Roman" w:hAnsi="Times New Roman" w:cs="Times New Roman" w:eastAsia="Times New Roman"/>
                <w:b w:val="false"/>
                <w:sz w:val="26"/>
              </w:rPr>
              <w:t>15-11-2018</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17/2020/NĐ-CP</w:t>
            </w:r>
          </w:p>
        </w:tc>
        <w:tc>
          <w:p/>
          <w:p>
            <w:pPr>
              <w:spacing w:after="0" w:before="0" w:lineRule="auto" w:line="276"/>
              <w:jc w:val="left"/>
            </w:pPr>
            <w:r>
              <w:rPr>
                <w:rFonts w:ascii="Times New Roman" w:hAnsi="Times New Roman" w:cs="Times New Roman" w:eastAsia="Times New Roman"/>
                <w:b w:val="false"/>
                <w:sz w:val="26"/>
              </w:rPr>
              <w:t>Nghị định 17/2020/NĐ-CP</w:t>
            </w:r>
          </w:p>
        </w:tc>
        <w:tc>
          <w:p/>
          <w:p>
            <w:pPr>
              <w:spacing w:after="0" w:before="0" w:lineRule="auto" w:line="276"/>
              <w:jc w:val="left"/>
            </w:pPr>
            <w:r>
              <w:rPr>
                <w:rFonts w:ascii="Times New Roman" w:hAnsi="Times New Roman" w:cs="Times New Roman" w:eastAsia="Times New Roman"/>
                <w:b w:val="false"/>
                <w:sz w:val="26"/>
              </w:rPr>
              <w:t>05-02-2020</w:t>
            </w:r>
          </w:p>
        </w:tc>
        <w:tc>
          <w:p/>
        </w:tc>
      </w:tr>
      <w:tr>
        <w:tc>
          <w:p/>
          <w:p>
            <w:pPr>
              <w:spacing w:after="0" w:before="0" w:lineRule="auto" w:line="276"/>
              <w:jc w:val="left"/>
            </w:pPr>
            <w:r>
              <w:rPr>
                <w:rFonts w:ascii="Times New Roman" w:hAnsi="Times New Roman" w:cs="Times New Roman" w:eastAsia="Times New Roman"/>
                <w:b w:val="false"/>
                <w:sz w:val="26"/>
              </w:rPr>
              <w:t>77/2016/NĐ-CP.</w:t>
            </w:r>
          </w:p>
        </w:tc>
        <w:tc>
          <w:p/>
          <w:p>
            <w:pPr>
              <w:spacing w:after="0" w:before="0" w:lineRule="auto" w:line="276"/>
              <w:jc w:val="left"/>
            </w:pPr>
            <w:r>
              <w:rPr>
                <w:rFonts w:ascii="Times New Roman" w:hAnsi="Times New Roman" w:cs="Times New Roman" w:eastAsia="Times New Roman"/>
                <w:b w:val="false"/>
                <w:sz w:val="26"/>
              </w:rPr>
              <w:t>Nghị định 77/2016/NĐ-CP.</w:t>
            </w:r>
          </w:p>
        </w:tc>
        <w:tc>
          <w:p/>
          <w:p>
            <w:pPr>
              <w:spacing w:after="0" w:before="0" w:lineRule="auto" w:line="276"/>
              <w:jc w:val="left"/>
            </w:pPr>
            <w:r>
              <w:rPr>
                <w:rFonts w:ascii="Times New Roman" w:hAnsi="Times New Roman" w:cs="Times New Roman" w:eastAsia="Times New Roman"/>
                <w:b w:val="false"/>
                <w:sz w:val="26"/>
              </w:rPr>
              <w:t>01-07-2016</w:t>
            </w:r>
          </w:p>
        </w:tc>
        <w:tc>
          <w:p/>
        </w:tc>
      </w:tr>
      <w:tr>
        <w:tc>
          <w:p/>
          <w:p>
            <w:pPr>
              <w:spacing w:after="0" w:before="0" w:lineRule="auto" w:line="276"/>
              <w:jc w:val="left"/>
            </w:pPr>
            <w:r>
              <w:rPr>
                <w:rFonts w:ascii="Times New Roman" w:hAnsi="Times New Roman" w:cs="Times New Roman" w:eastAsia="Times New Roman"/>
                <w:b w:val="false"/>
                <w:sz w:val="26"/>
              </w:rPr>
              <w:t>08/2018/NĐ-CP</w:t>
            </w:r>
          </w:p>
        </w:tc>
        <w:tc>
          <w:p/>
          <w:p>
            <w:pPr>
              <w:spacing w:after="0" w:before="0" w:lineRule="auto" w:line="276"/>
              <w:jc w:val="left"/>
            </w:pPr>
            <w:r>
              <w:rPr>
                <w:rFonts w:ascii="Times New Roman" w:hAnsi="Times New Roman" w:cs="Times New Roman" w:eastAsia="Times New Roman"/>
                <w:b w:val="false"/>
                <w:sz w:val="26"/>
              </w:rPr>
              <w:t>Nghị định 08/2018/NĐ-CP</w:t>
            </w:r>
          </w:p>
        </w:tc>
        <w:tc>
          <w:p/>
          <w:p>
            <w:pPr>
              <w:spacing w:after="0" w:before="0" w:lineRule="auto" w:line="276"/>
              <w:jc w:val="left"/>
            </w:pPr>
            <w:r>
              <w:rPr>
                <w:rFonts w:ascii="Times New Roman" w:hAnsi="Times New Roman" w:cs="Times New Roman" w:eastAsia="Times New Roman"/>
                <w:b w:val="false"/>
                <w:sz w:val="26"/>
              </w:rPr>
              <w:t>15-01-2018</w:t>
            </w:r>
          </w:p>
        </w:tc>
        <w:tc>
          <w:p/>
        </w:tc>
      </w:tr>
      <w:tr>
        <w:tc>
          <w:p/>
          <w:p>
            <w:pPr>
              <w:spacing w:after="0" w:before="0" w:lineRule="auto" w:line="276"/>
              <w:jc w:val="left"/>
            </w:pPr>
            <w:r>
              <w:rPr>
                <w:rFonts w:ascii="Times New Roman" w:hAnsi="Times New Roman" w:cs="Times New Roman" w:eastAsia="Times New Roman"/>
                <w:b w:val="false"/>
                <w:sz w:val="26"/>
              </w:rPr>
              <w:t>67/2021/TT-BTC</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và sử dụng phí trong công tác an toàn thực phẩm</w:t>
            </w:r>
          </w:p>
        </w:tc>
        <w:tc>
          <w:p/>
          <w:p>
            <w:pPr>
              <w:spacing w:after="0" w:before="0" w:lineRule="auto" w:line="276"/>
              <w:jc w:val="left"/>
            </w:pPr>
            <w:r>
              <w:rPr>
                <w:rFonts w:ascii="Times New Roman" w:hAnsi="Times New Roman" w:cs="Times New Roman" w:eastAsia="Times New Roman"/>
                <w:b w:val="false"/>
                <w:sz w:val="26"/>
              </w:rPr>
              <w:t>05-08-2021</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Các cơ sở sản xuất, kinh doanh thực phẩm quy định tại Khoản 1 Khoản 2 Điều 6 Thông tư số 43/2018/TT-BCT ngày 15 tháng 11 năm 2018 của Bộ Công Thương quy định về quản lý an toàn thực phẩm thuộc trách nhiệm của Bộ Công Thương, bao gồm:
- Cơ sở sản xuất các sản phẩm thực phẩm có công suất thiết kế nhỏ hơn cơ sở quy định tại điểm a khoản 1 Điều 6 Thông tư số 43/2018/TT-BCT ngày 15 tháng 11 năm 2018 của Bộ Công Thương quy định về quản lý an toàn thực phẩm thuộc trách nhiệm của Bộ Công Thương.
- Cơ sở bán buôn, bán lẻ thực phẩm (bao gồm cả thực phẩm tổng hợp) của thương nhân trên địa bàn 01 tỉnh, thành phố trực thuộc Trung ương; chuỗi siêu thị mini và chuỗi cửa hàng tiện lợi có diện tích tương đương siêu thị mini theo quy định của pháp luật;
- Cơ sở vừa sản xuất vừa kinh doanh tại cùng một địa điểm có công suất thiết kế theo quy định tại điểm a khoản này;</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2026-05-25T23:59:26Z</dcterms:created>
  <dc:creator>Apache POI</dc:creator>
</cp:coreProperties>
</file>