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2.001895.000.00.00.H36</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02/QĐ-UBND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Thủ tục cấp 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Bộ, Cấp Tỉnh</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không được luật giao cho địa phương quy định hoặc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Quốc tịch</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w:r>
    </w:p>
    <w:p>
      <w:pPr>
        <w:spacing w:after="0" w:before="0" w:lineRule="auto" w:line="276"/>
        <w:jc w:val="both"/>
      </w:pPr>
      <w:r>
        <w:rPr>
          <w:rFonts w:ascii="Times New Roman" w:hAnsi="Times New Roman" w:cs="Times New Roman" w:eastAsia="Times New Roman"/>
          <w:b w:val="false"/>
          <w:sz w:val="26"/>
        </w:rPr>
        <w:t>- Người yêu cầu cấp Giấy xác nhận là người gốc Việt Nam nộp hồ sơ tại Sở Tư pháp hoặc Cơ quan đại diện, nơi người đó cư trú vào thời điểm nộp hồ sơ.
- Trong thời hạn 05 ngày làm việc, kể từ ngày thụ lý hồ sơ, cơ quan thụ lý hồ sơ có trách nhiệm xem xét, kiểm tra thông tin trong hồ sơ với giấy tờ do người yêu cầu xuất trình và đối chiếu với cơ sở dữ liệu, tài liệu liên quan đến quốc tịch. Nếu thấy có đủ cơ sở để xác định người đó có nguồn gốc Việt Nam, cơ quan thụ lý hồ sơ ghi vào Sổ cấp Giấy xác nhận là người gốc Việt Nam; người đứng đầu cơ quan ký và cấp Giấy xác nhận là người gốc Việt Nam theo mẫu quy định cho người yêu cầu.
Nếu không có cơ sở để cấp Giấy xác nhận là người gốc Việt Nam, cơ quan thụ lý hồ sơ thông báo bằng văn bản cho người yêu cầu biết.</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br/>
              <w:t>File đính kèm: 281_2016_TT-BTC.doc</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br/>
              <w:t>File đính kèm: 281_2016_TT-BTC.doc</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Ủy ban Nhà nước về người Việt Nam ở nước ngoài, Bộ Ngoại giao hoặc Sở Tư pháp)</w:t>
            </w:r>
          </w:p>
        </w:tc>
        <w:tc>
          <w:p/>
          <w:p>
            <w:pPr>
              <w:spacing w:after="0" w:before="0" w:lineRule="auto" w:line="276"/>
              <w:jc w:val="left"/>
            </w:pPr>
            <w:r>
              <w:rPr>
                <w:rFonts w:ascii="Times New Roman" w:hAnsi="Times New Roman" w:cs="Times New Roman" w:eastAsia="Times New Roman"/>
                <w:b w:val="false"/>
                <w:sz w:val="26"/>
              </w:rPr>
              <w:t>Người có yêu cầu nộp hồ sơ trực tiếp tại cơ quan đại diện Việt Nam ở nước ngoài (nếu đang cư trú ở nước ngoài), đến Ủy ban Nhà nước về người Việt Nam ở nước ngoài, Bộ Ngoại giao hoặc Sở Tư pháp (nếu đang cư trú ở trong nước), không ủy quyền cho người khác nộp hồ sơ. 
Trường hợp người có yêu cầu cư trú tại quốc gia hoặc vùng lãnh thổ không có Cơ quan đại diện ngoại giao, cơ quan lãnh sự hoặc cơ quan khác được ủy quyền thực hiện chức năng lãnh sự của Việt Nam ở nước ngoài thì nộp hồ sơ tại Cơ quan đại diện kiêm nhiệm hoặc Cơ quan đại diện nào thuận tiện nhất.</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br/>
              <w:t>File đính kèm: 281_2016_TT-BTC.doc</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br/>
              <w:t>File đính kèm: 281_2016_TT-BTC.doc</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Ủy ban Nhà nước về người Việt Nam ở nước ngoài, Bộ Ngoại giao hoặc Sở Tư pháp)</w:t>
            </w:r>
          </w:p>
        </w:tc>
        <w:tc>
          <w:p/>
          <w:p>
            <w:pPr>
              <w:spacing w:after="0" w:before="0" w:lineRule="auto" w:line="276"/>
              <w:jc w:val="left"/>
            </w:pPr>
            <w:r>
              <w:rPr>
                <w:rFonts w:ascii="Times New Roman" w:hAnsi="Times New Roman" w:cs="Times New Roman" w:eastAsia="Times New Roman"/>
                <w:b w:val="false"/>
                <w:sz w:val="26"/>
              </w:rPr>
              <w:t>- Người có yêu cầu cấp Giấy xác nhận là người gốc Việt Nam nộp hồ sơ trực tuyến, trực tiếp hoặc gửi qua dịch vụ bưu chính đến Sở Tư pháp (nếu đang cư trú ở trong nước) hoặc cơ quan đại diện Việt Nam ở nước ngoài (nếu đang cư trú ở nước ngoài) vào thời điểm nộp hồ sơ. 
Trường hợp người có yêu cầu cư trú tại quốc gia hoặc vùng lãnh thổ không có cơ quan đại diện thì nộp hồ sơ tại cơ quan đại diện kiêm nhiệm hoặc cơ quan đại diện thuận tiện nhất.
- Trường hợp người yêu cầu nộp hồ sơ trực tuyến thì thực hiện theo quy định tại Điều 6 Nghị định số 191/2025/NĐ-CP như sau:
+ Người yêu cầu đăng nhập tài khoản vào Cổng Dịch vụ công quốc gia kết nối với Hệ thống thông tin giải quyết thủ tục hành chính cấp bộ, cấp tỉnh và nộp hồ sơ theo quy định, cung cấp thông tin theo biểu mẫu điện tử tương tác, đính kèm bản điện tử. Trường hợp thông tin, dữ liệu điện tử của người yêu cầu đã được kết nối, chia sẻ giữa các cơ sở dữ liệu thì người yêu cầu không phải khai lại thông tin hoặc đính kèm hồ sơ, giấy tờ.
Trường hợp không có bản điện tử thì đính kèm bản chụp hoặc bản sao các giấy tờ theo quy định; nộp phí, lệ phí thông qua chức năng thanh toán trực tuyến của Cổng Dịch vụ công quốc gia, các nền tảng thanh toán khác hoặc các phương thức khác theo quy định của pháp luật.
+ Sau khi hoàn tất việc nộp hồ sơ, người yêu cầu được cấp 01 mã số hồ sơ thủ tục hành chính để theo dõi, tra cứu tiến độ giải quyết hoặc truy cập để hoàn thiện hồ sơ khi có yêu cầu của cơ quan thụ lý.
+ Hồ sơ điện tử cấp Giấy xác nhận là người gốc Việt Nam được tiếp nhận tại Cổng Dịch vụ công quốc gia và thông qua Hệ thống thông tin giải quyết thủ tục hành chính cấp bộ, cấp tỉnh chuyển đến Phần mềm quản lý, giải quyết hồ sơ quốc tịch để cơ quan có thẩm quyền giải quyết. 
+ Người có yêu cầu có thể lựa chọn nhận kết quả theo các phương thức sau: nhận bản điện tử gửi qua thư điện tử, Kho quản lý dữ liệu điện tử của tổ chức, cá nhân đó; nhận bản điện tử gửi vào thiết bị số, thông qua phương pháp truyền số liệu phù hợp, đảm bảo an toàn, bảo mật thông tin; nhận kết quả là bản giấy thông qua dịch vụ bưu chính và nộp chi phí trả kết quả; Nhận kết quả là bản giấy tại cơ quan thụ lý hồ sơ.</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 xml:space="preserve">Thời gian thực tế giải quyết hồ sơ tại các cơ quan có thẩm quyền là: 53 ngày đối với hồ sơ xác minh thông thường hoặc 68 ngày đối với hồ sơ xác minh phức tạp. </w:t>
            </w:r>
          </w:p>
        </w:tc>
        <w:tc>
          <w:p/>
          <w:p>
            <w:pPr>
              <w:spacing w:after="0" w:before="0" w:lineRule="auto" w:line="276"/>
              <w:jc w:val="left"/>
            </w:pPr>
            <w:r>
              <w:rPr>
                <w:rFonts w:ascii="Times New Roman" w:hAnsi="Times New Roman" w:cs="Times New Roman" w:eastAsia="Times New Roman"/>
                <w:b w:val="false"/>
                <w:sz w:val="26"/>
              </w:rPr>
              <w:t>Phí : 0 Đồng</w:t>
              <w:t xml:space="preserve"> (Miễn phí đối với: người di cư từ Lào được phép cư trú xin xác nhận là người gốc Việt Nam theo quy định của điều ước quốc tế mà nước Cộng hòa xã hội chủ nghĩa Việt Nam là thành viên; kiều bào Việt Nam tại các nước láng giềng có chung đường biên giới đất liền với Việt Nam có hoàn cảnh kinh tế khó khăn, có xác nhận của Ủy ban nhân dân cấp xã.)</w:t>
              <w:br/>
              <w:t>File đính kèm: 281_2016_TT-BTC.doc</w:t>
            </w:r>
          </w:p>
          <w:p>
            <w:pPr>
              <w:spacing w:after="0" w:before="0" w:lineRule="auto" w:line="276"/>
              <w:jc w:val="left"/>
            </w:pPr>
            <w:r>
              <w:rPr>
                <w:rFonts w:ascii="Times New Roman" w:hAnsi="Times New Roman" w:cs="Times New Roman" w:eastAsia="Times New Roman"/>
                <w:b w:val="false"/>
                <w:sz w:val="26"/>
              </w:rPr>
              <w:t>Phí : 20 USD</w:t>
              <w:t xml:space="preserve"> (Nếu nộp hồ sơ tại Cơ quan đại diện Việt Nam ở nước ngoài)</w:t>
              <w:br/>
              <w:t>File đính kèm: 281_2016_TT-BTC.doc</w:t>
            </w:r>
          </w:p>
          <w:p>
            <w:pPr>
              <w:spacing w:after="0" w:before="0" w:lineRule="auto" w:line="276"/>
              <w:jc w:val="left"/>
            </w:pPr>
            <w:r>
              <w:rPr>
                <w:rFonts w:ascii="Times New Roman" w:hAnsi="Times New Roman" w:cs="Times New Roman" w:eastAsia="Times New Roman"/>
                <w:b w:val="false"/>
                <w:sz w:val="26"/>
              </w:rPr>
              <w:t>Phí : 100.000 Đồng</w:t>
              <w:t xml:space="preserve"> (Nếu nộp hồ sơ tại Ủy ban Nhà nước về người Việt Nam ở nước ngoài, Bộ Ngoại giao hoặc Sở Tư pháp)</w:t>
            </w:r>
          </w:p>
        </w:tc>
        <w:tc>
          <w:p/>
          <w:p>
            <w:pPr>
              <w:spacing w:after="0" w:before="0" w:lineRule="auto" w:line="276"/>
              <w:jc w:val="left"/>
            </w:pPr>
            <w:r>
              <w:rPr>
                <w:rFonts w:ascii="Times New Roman" w:hAnsi="Times New Roman" w:cs="Times New Roman" w:eastAsia="Times New Roman"/>
                <w:b w:val="false"/>
                <w:sz w:val="26"/>
              </w:rPr>
              <w:t>Người có yêu cầu nộp hồ sơ trực tiếp tại cơ quan đại diện Việt Nam ở nước ngoài (nếu đang cư trú ở nước ngoài), đến Ủy ban Nhà nước về người Việt Nam ở nước ngoài, Bộ Ngoại giao hoặc Sở Tư pháp (nếu đang cư trú ở trong nước), không ủy quyền cho người khác nộp hồ sơ. 
Trường hợp người có yêu cầu cư trú tại quốc gia hoặc vùng lãnh thổ không có Cơ quan đại diện ngoại giao, cơ quan lãnh sự hoặc cơ quan khác được ủy quyền thực hiện chức năng lãnh sự của Việt Nam ở nước ngoài thì nộp hồ sơ tại Cơ quan đại diện kiêm nhiệm hoặc Cơ quan đại diện nào thuận tiện nhất.</w:t>
            </w:r>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Lưu ý:</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Trường hợp pháp luật quy định giấy tờ phải nộp là bản sao thì người yêu cầu giải quyết các việc về quốc tịch có thể nộp giấy tờ là bản chụp từ bản chính; bản sao được chứng thực từ bản chính; bản sao được cấp từ sổ gốc; bản điện tử các giấy tờ này; giấy tờ được tích hợp, hiển thị trên Ứng dụng định danh điện tử (VneID). Nếu nộp bản chụp từ bản chính thì phải có bản chính để đối chiếu; người thụ lý hồ sơ kiểm tra, đối chiếu bản sao với bản chính và ký xác nhận đã đối chiếu.</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Trường hợp hồ sơ được gửi qua dịch vụ bưu chính thì các giấy tờ trong hồ sơ phải được chứng thực từ bản chính hoặc được cấp từ sổ gốc; Tờ khai phải được chứng thực chữ ký theo quy định của pháp luật.</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Giấy tờ về nhân thân của người đó như giấy Chứng minh nhân dân, thẻ Căn cước công dân, thẻ căn cước, căn cước điện tử, giấy tờ cư trú, thẻ tạm trú, giấy thông hành, giấy tờ có giá trị đi lại quốc tế hoặc giấy tờ xác nhận về nhân thân có dán ảnh do cơ quan có thẩm quyền cấp. (Đối với Chứng minh nhân dân, thẻ Căn cước công dân, thẻ căn cước hoặc Giấy chứng nhận căn cước, người yêu cầu chỉ nộp trong trường hợp cơ quan thụ lý không khai thác được thông tin trong Cơ sở dữ liệu quốc gia về dân cư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Giấy tờ được cấp trước đây để chứng minh người đó đã từng có quốc tịch Việt Nam mà khi sinh ra quốc tịch của họ được xác định theo nguyên tắc huyết thống hoặc giấy tờ để chứng minh người đó khi sinh ra có cha mẹ hoặc ông bà nội, ông bà ngoại đã từng có quốc tịch Việt Nam. (Trường hợp giấy tờ chứng minh là Giấy khai sinh hoặc Trích lục khai sinh, người yêu cầu chỉ nộp trong trường hợp cơ quan thụ lý không khai thác được thông tin trong Cơ sở dữ liệu hộ tịch điện tử hoặc thông tin khai thác được không đầy đủ, không chính xác).</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Trường hợp không có bất kỳ giấy tờ nào nêu trên thì tùy từng hoàn cảnh cụ thể, có thể nộp bản sao giấy tờ về nhân thân, quốc tịch, hộ tịch do chế độ cũ ở miền Nam cấp trước ngày 30 tháng 4 năm 1975; giấy tờ do chính quyền cũ ở Hà Nội cấp từ năm 1911 đến năm 1956; giấy bảo lãnh của Hội đoàn người Việt Nam ở nước ngoài nơi người đó đang cư trú, trong đó xác nhận người đó có gốc Việt Nam; giấy bảo lãnh của người có quốc tịch Việt Nam, trong đó xác nhận người đó có gốc Việt Nam; giấy tờ do cơ quan có thẩm quyền của nước ngoài cấp trong đó ghi quốc tịch Việt Nam hoặc quốc tịch gốc Việt Nam.</w:t>
            </w:r>
          </w:p>
        </w:tc>
        <w:tc>
          <w:p/>
        </w:tc>
        <w:tc>
          <w:p/>
          <w:p>
            <w:pPr>
              <w:spacing w:after="0" w:before="0" w:lineRule="auto" w:line="276"/>
              <w:jc w:val="left"/>
            </w:pPr>
            <w:r>
              <w:rPr>
                <w:rFonts w:ascii="Times New Roman" w:hAnsi="Times New Roman" w:cs="Times New Roman" w:eastAsia="Times New Roman"/>
                <w:b w:val="false"/>
                <w:sz w:val="26"/>
              </w:rPr>
              <w:t xml:space="preserve">Bản chính: </w:t>
              <w:t>0</w:t>
              <w:br/>
              <w:t xml:space="preserve">Bản sao: </w:t>
              <w:t>1</w:t>
            </w:r>
          </w:p>
        </w:tc>
      </w:tr>
      <w:tr>
        <w:tc>
          <w:p/>
          <w:p>
            <w:pPr>
              <w:spacing w:after="0" w:before="0" w:lineRule="auto" w:line="276"/>
              <w:jc w:val="left"/>
            </w:pPr>
            <w:r>
              <w:rPr>
                <w:rFonts w:ascii="Times New Roman" w:hAnsi="Times New Roman" w:cs="Times New Roman" w:eastAsia="Times New Roman"/>
                <w:b w:val="false"/>
                <w:sz w:val="26"/>
              </w:rPr>
              <w:t>- Tờ khai đề nghị xác nhận là người gốc Việt Nam kèm 02 ảnh 4x6 chụp chưa quá 6 tháng</w:t>
            </w:r>
          </w:p>
        </w:tc>
        <w:tc>
          <w:p/>
          <w:p>
            <w:pPr>
              <w:spacing w:after="0" w:before="0" w:lineRule="auto" w:line="276"/>
              <w:jc w:val="left"/>
            </w:pPr>
            <w:r>
              <w:rPr>
                <w:rFonts w:ascii="Times New Roman" w:hAnsi="Times New Roman" w:cs="Times New Roman" w:eastAsia="Times New Roman"/>
                <w:b w:val="false"/>
                <w:sz w:val="26"/>
              </w:rPr>
              <w:t>10.MuTkhaicpGXNGVN1.docx</w:t>
            </w:r>
          </w:p>
          <w:p>
            <w:pPr>
              <w:spacing w:after="0" w:before="0" w:lineRule="auto" w:line="276"/>
              <w:jc w:val="left"/>
            </w:pPr>
            <w:r>
              <w:rPr>
                <w:rFonts w:ascii="Times New Roman" w:hAnsi="Times New Roman" w:cs="Times New Roman" w:eastAsia="Times New Roman"/>
                <w:b w:val="false"/>
                <w:sz w:val="26"/>
              </w:rPr>
              <w:t>11.MuTkhaicpGXNGVN2.docx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 Người Việt Nam định cư ở nước ngoài, Người nước ngoài</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Sở Tư pháp  - Tỉnh Lâm Đồng</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Nộp trực tiếp hoặc gửi hồ sơ qua đường bưu chính đến Trung tâm phục vụ Hành chính công tỉnh Lâm Đồng – 36 Trần Phú, Đà Lạt, Lâm Đồng</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Giấy  xác nhận là người gốc Việt Nam</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24/2008/QH12</w:t>
            </w:r>
          </w:p>
        </w:tc>
        <w:tc>
          <w:p/>
          <w:p>
            <w:pPr>
              <w:spacing w:after="0" w:before="0" w:lineRule="auto" w:line="276"/>
              <w:jc w:val="left"/>
            </w:pPr>
            <w:r>
              <w:rPr>
                <w:rFonts w:ascii="Times New Roman" w:hAnsi="Times New Roman" w:cs="Times New Roman" w:eastAsia="Times New Roman"/>
                <w:b w:val="false"/>
                <w:sz w:val="26"/>
              </w:rPr>
              <w:t>	 Luật 24/2008/QH12</w:t>
            </w:r>
          </w:p>
        </w:tc>
        <w:tc>
          <w:p/>
          <w:p>
            <w:pPr>
              <w:spacing w:after="0" w:before="0" w:lineRule="auto" w:line="276"/>
              <w:jc w:val="left"/>
            </w:pPr>
            <w:r>
              <w:rPr>
                <w:rFonts w:ascii="Times New Roman" w:hAnsi="Times New Roman" w:cs="Times New Roman" w:eastAsia="Times New Roman"/>
                <w:b w:val="false"/>
                <w:sz w:val="26"/>
              </w:rPr>
              <w:t>13-11-2008</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78/2009/NĐ-CP</w:t>
            </w:r>
          </w:p>
        </w:tc>
        <w:tc>
          <w:p/>
          <w:p>
            <w:pPr>
              <w:spacing w:after="0" w:before="0" w:lineRule="auto" w:line="276"/>
              <w:jc w:val="left"/>
            </w:pPr>
            <w:r>
              <w:rPr>
                <w:rFonts w:ascii="Times New Roman" w:hAnsi="Times New Roman" w:cs="Times New Roman" w:eastAsia="Times New Roman"/>
                <w:b w:val="false"/>
                <w:sz w:val="26"/>
              </w:rPr>
              <w:t>Nghị định 78/2009/NĐ-CP - Quy định chi tiết và hướng dẫn thi hành một số điều của Luật Quốc tịch Việt Nam</w:t>
            </w:r>
          </w:p>
        </w:tc>
        <w:tc>
          <w:p/>
          <w:p>
            <w:pPr>
              <w:spacing w:after="0" w:before="0" w:lineRule="auto" w:line="276"/>
              <w:jc w:val="left"/>
            </w:pPr>
            <w:r>
              <w:rPr>
                <w:rFonts w:ascii="Times New Roman" w:hAnsi="Times New Roman" w:cs="Times New Roman" w:eastAsia="Times New Roman"/>
                <w:b w:val="false"/>
                <w:sz w:val="26"/>
              </w:rPr>
              <w:t>22-09-2009</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05/2010/TTLT/BTP-BNG-BCA	</w:t>
            </w:r>
          </w:p>
        </w:tc>
        <w:tc>
          <w:p/>
          <w:p>
            <w:pPr>
              <w:spacing w:after="0" w:before="0" w:lineRule="auto" w:line="276"/>
              <w:jc w:val="left"/>
            </w:pPr>
            <w:r>
              <w:rPr>
                <w:rFonts w:ascii="Times New Roman" w:hAnsi="Times New Roman" w:cs="Times New Roman" w:eastAsia="Times New Roman"/>
                <w:b w:val="false"/>
                <w:sz w:val="26"/>
              </w:rPr>
              <w:t>Thông tư liên tịch 05/2010/TTLT/BTP-BNG-BCA</w:t>
            </w:r>
          </w:p>
        </w:tc>
        <w:tc>
          <w:p/>
          <w:p>
            <w:pPr>
              <w:spacing w:after="0" w:before="0" w:lineRule="auto" w:line="276"/>
              <w:jc w:val="left"/>
            </w:pPr>
            <w:r>
              <w:rPr>
                <w:rFonts w:ascii="Times New Roman" w:hAnsi="Times New Roman" w:cs="Times New Roman" w:eastAsia="Times New Roman"/>
                <w:b w:val="false"/>
                <w:sz w:val="26"/>
              </w:rPr>
              <w:t>01-03-2010</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05/2013/TTLT-BTP-BNG-BCA</w:t>
            </w:r>
          </w:p>
        </w:tc>
        <w:tc>
          <w:p/>
          <w:p>
            <w:pPr>
              <w:spacing w:after="0" w:before="0" w:lineRule="auto" w:line="276"/>
              <w:jc w:val="left"/>
            </w:pPr>
            <w:r>
              <w:rPr>
                <w:rFonts w:ascii="Times New Roman" w:hAnsi="Times New Roman" w:cs="Times New Roman" w:eastAsia="Times New Roman"/>
                <w:b w:val="false"/>
                <w:sz w:val="26"/>
              </w:rPr>
              <w:t>Thông tư liên tịch 05/2013/TTLT-BTP-BNG-BCA</w:t>
            </w:r>
          </w:p>
        </w:tc>
        <w:tc>
          <w:p/>
          <w:p>
            <w:pPr>
              <w:spacing w:after="0" w:before="0" w:lineRule="auto" w:line="276"/>
              <w:jc w:val="left"/>
            </w:pPr>
            <w:r>
              <w:rPr>
                <w:rFonts w:ascii="Times New Roman" w:hAnsi="Times New Roman" w:cs="Times New Roman" w:eastAsia="Times New Roman"/>
                <w:b w:val="false"/>
                <w:sz w:val="26"/>
              </w:rPr>
              <w:t>31-01-2013</w:t>
            </w:r>
          </w:p>
        </w:tc>
        <w:tc>
          <w:p/>
          <w:p>
            <w:pPr>
              <w:spacing w:after="0" w:before="0" w:lineRule="auto" w:line="276"/>
              <w:jc w:val="left"/>
            </w:pPr>
            <w:r>
              <w:rPr>
                <w:rFonts w:ascii="Times New Roman" w:hAnsi="Times New Roman" w:cs="Times New Roman" w:eastAsia="Times New Roman"/>
                <w:b w:val="false"/>
                <w:sz w:val="26"/>
              </w:rPr>
              <w:t>Bộ Tư pháp</w:t>
            </w:r>
          </w:p>
        </w:tc>
      </w:tr>
      <w:tr>
        <w:tc>
          <w:p/>
          <w:p>
            <w:pPr>
              <w:spacing w:after="0" w:before="0" w:lineRule="auto" w:line="276"/>
              <w:jc w:val="left"/>
            </w:pPr>
            <w:r>
              <w:rPr>
                <w:rFonts w:ascii="Times New Roman" w:hAnsi="Times New Roman" w:cs="Times New Roman" w:eastAsia="Times New Roman"/>
                <w:b w:val="false"/>
                <w:sz w:val="26"/>
              </w:rPr>
              <w:t xml:space="preserve">281/2016/TT-BTC </w:t>
            </w:r>
          </w:p>
        </w:tc>
        <w:tc>
          <w:p/>
          <w:p>
            <w:pPr>
              <w:spacing w:after="0" w:before="0" w:lineRule="auto" w:line="276"/>
              <w:jc w:val="left"/>
            </w:pPr>
            <w:r>
              <w:rPr>
                <w:rFonts w:ascii="Times New Roman" w:hAnsi="Times New Roman" w:cs="Times New Roman" w:eastAsia="Times New Roman"/>
                <w:b w:val="false"/>
                <w:sz w:val="26"/>
              </w:rPr>
              <w:t>Thông tư 281/2016/TT-BTC</w:t>
            </w:r>
          </w:p>
        </w:tc>
        <w:tc>
          <w:p/>
          <w:p>
            <w:pPr>
              <w:spacing w:after="0" w:before="0" w:lineRule="auto" w:line="276"/>
              <w:jc w:val="left"/>
            </w:pPr>
            <w:r>
              <w:rPr>
                <w:rFonts w:ascii="Times New Roman" w:hAnsi="Times New Roman" w:cs="Times New Roman" w:eastAsia="Times New Roman"/>
                <w:b w:val="false"/>
                <w:sz w:val="26"/>
              </w:rPr>
              <w:t>14-11-2016</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264/2016/TT-BTC</w:t>
            </w:r>
          </w:p>
        </w:tc>
        <w:tc>
          <w:p/>
          <w:p>
            <w:pPr>
              <w:spacing w:after="0" w:before="0" w:lineRule="auto" w:line="276"/>
              <w:jc w:val="left"/>
            </w:pPr>
            <w:r>
              <w:rPr>
                <w:rFonts w:ascii="Times New Roman" w:hAnsi="Times New Roman" w:cs="Times New Roman" w:eastAsia="Times New Roman"/>
                <w:b w:val="false"/>
                <w:sz w:val="26"/>
              </w:rPr>
              <w:t>Thông tư 264/2016/TT-BTC</w:t>
            </w:r>
          </w:p>
        </w:tc>
        <w:tc>
          <w:p/>
          <w:p>
            <w:pPr>
              <w:spacing w:after="0" w:before="0" w:lineRule="auto" w:line="276"/>
              <w:jc w:val="left"/>
            </w:pPr>
            <w:r>
              <w:rPr>
                <w:rFonts w:ascii="Times New Roman" w:hAnsi="Times New Roman" w:cs="Times New Roman" w:eastAsia="Times New Roman"/>
                <w:b w:val="false"/>
                <w:sz w:val="26"/>
              </w:rPr>
              <w:t>14-11-2016</w:t>
            </w:r>
          </w:p>
        </w:tc>
        <w:tc>
          <w:p/>
        </w:tc>
      </w:tr>
      <w:tr>
        <w:tc>
          <w:p/>
          <w:p>
            <w:pPr>
              <w:spacing w:after="0" w:before="0" w:lineRule="auto" w:line="276"/>
              <w:jc w:val="left"/>
            </w:pPr>
            <w:r>
              <w:rPr>
                <w:rFonts w:ascii="Times New Roman" w:hAnsi="Times New Roman" w:cs="Times New Roman" w:eastAsia="Times New Roman"/>
                <w:b w:val="false"/>
                <w:sz w:val="26"/>
              </w:rPr>
              <w:t>04/2024/TT-BTP</w:t>
            </w:r>
          </w:p>
        </w:tc>
        <w:tc>
          <w:p/>
          <w:p>
            <w:pPr>
              <w:spacing w:after="0" w:before="0" w:lineRule="auto" w:line="276"/>
              <w:jc w:val="left"/>
            </w:pPr>
            <w:r>
              <w:rPr>
                <w:rFonts w:ascii="Times New Roman" w:hAnsi="Times New Roman" w:cs="Times New Roman" w:eastAsia="Times New Roman"/>
                <w:b w:val="false"/>
                <w:sz w:val="26"/>
              </w:rPr>
              <w:t>Sửa đổi, bổ sung một số điều của Thông tư số 02/2020/TT-BTP ngày 08/4/2020 của Bộ trưởng Bộ Tư pháp ban hành, hướng dẫn sử dụng, quản lý mẫu sổ quốc tịch và mẫu giấy tờ về quốc tịch và Thông tư số 04/2020/TT-BTP ngày 28/5/2020 của Bộ trưởng Bộ Tư pháp quy định chi tiết thi hành một số điều của Luật Hộ tịch và Nghị định  số 123/2015/NĐ-CP ngày 15/11/2015 của Chính phủ quy định chi tiết  một số điều và biện pháp thi hành Luật Hộ tịch</w:t>
            </w:r>
          </w:p>
        </w:tc>
        <w:tc>
          <w:p/>
          <w:p>
            <w:pPr>
              <w:spacing w:after="0" w:before="0" w:lineRule="auto" w:line="276"/>
              <w:jc w:val="left"/>
            </w:pPr>
            <w:r>
              <w:rPr>
                <w:rFonts w:ascii="Times New Roman" w:hAnsi="Times New Roman" w:cs="Times New Roman" w:eastAsia="Times New Roman"/>
                <w:b w:val="false"/>
                <w:sz w:val="26"/>
              </w:rPr>
              <w:t>06-06-2024</w:t>
            </w:r>
          </w:p>
        </w:tc>
        <w:tc>
          <w:p/>
          <w:p>
            <w:pPr>
              <w:spacing w:after="0" w:before="0" w:lineRule="auto" w:line="276"/>
              <w:jc w:val="left"/>
            </w:pPr>
            <w:r>
              <w:rPr>
                <w:rFonts w:ascii="Times New Roman" w:hAnsi="Times New Roman" w:cs="Times New Roman" w:eastAsia="Times New Roman"/>
                <w:b w:val="false"/>
                <w:sz w:val="26"/>
              </w:rPr>
              <w:t>Bộ trưởng Bộ Tư pháp</w:t>
            </w:r>
          </w:p>
        </w:tc>
      </w:tr>
      <w:tr>
        <w:tc>
          <w:p/>
          <w:p>
            <w:pPr>
              <w:spacing w:after="0" w:before="0" w:lineRule="auto" w:line="276"/>
              <w:jc w:val="left"/>
            </w:pPr>
            <w:r>
              <w:rPr>
                <w:rFonts w:ascii="Times New Roman" w:hAnsi="Times New Roman" w:cs="Times New Roman" w:eastAsia="Times New Roman"/>
                <w:b w:val="false"/>
                <w:sz w:val="26"/>
              </w:rPr>
              <w:t>07/2025/NĐ-CP</w:t>
            </w:r>
          </w:p>
        </w:tc>
        <w:tc>
          <w:p/>
          <w:p>
            <w:pPr>
              <w:spacing w:after="0" w:before="0" w:lineRule="auto" w:line="276"/>
              <w:jc w:val="left"/>
            </w:pPr>
            <w:r>
              <w:rPr>
                <w:rFonts w:ascii="Times New Roman" w:hAnsi="Times New Roman" w:cs="Times New Roman" w:eastAsia="Times New Roman"/>
                <w:b w:val="false"/>
                <w:sz w:val="26"/>
              </w:rPr>
              <w:t>Nghị định số 07/2025/NĐ-CP ngày 09/01/2025 của Chính phủ sửa đổi, bổ sung một số điều của các Nghị định trong lĩnh vực hộ tịch, quốc tịch, chứng thực.</w:t>
            </w:r>
          </w:p>
        </w:tc>
        <w:tc>
          <w:p/>
          <w:p>
            <w:pPr>
              <w:spacing w:after="0" w:before="0" w:lineRule="auto" w:line="276"/>
              <w:jc w:val="left"/>
            </w:pPr>
            <w:r>
              <w:rPr>
                <w:rFonts w:ascii="Times New Roman" w:hAnsi="Times New Roman" w:cs="Times New Roman" w:eastAsia="Times New Roman"/>
                <w:b w:val="false"/>
                <w:sz w:val="26"/>
              </w:rPr>
              <w:t>09-01-2025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191/2025/NĐ-CP</w:t>
            </w:r>
          </w:p>
        </w:tc>
        <w:tc>
          <w:p/>
          <w:p>
            <w:pPr>
              <w:spacing w:after="0" w:before="0" w:lineRule="auto" w:line="276"/>
              <w:jc w:val="left"/>
            </w:pPr>
            <w:r>
              <w:rPr>
                <w:rFonts w:ascii="Times New Roman" w:hAnsi="Times New Roman" w:cs="Times New Roman" w:eastAsia="Times New Roman"/>
                <w:b w:val="false"/>
                <w:sz w:val="26"/>
              </w:rPr>
              <w:t>Nghị định quy định chi tiết một số điều và biện pháp để tổ chức, hướng dẫn thi hành Luật Quốc tịch Việt Nam</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12/2025/TT-BTP</w:t>
            </w:r>
          </w:p>
        </w:tc>
        <w:tc>
          <w:p/>
          <w:p>
            <w:pPr>
              <w:spacing w:after="0" w:before="0" w:lineRule="auto" w:line="276"/>
              <w:jc w:val="left"/>
            </w:pPr>
            <w:r>
              <w:rPr>
                <w:rFonts w:ascii="Times New Roman" w:hAnsi="Times New Roman" w:cs="Times New Roman" w:eastAsia="Times New Roman"/>
                <w:b w:val="false"/>
                <w:sz w:val="26"/>
              </w:rPr>
              <w:t>Thông tư ban hành, hướng dẫn sử dụng, quản lý mẫu sổ quốc tịch và mẫu giấy tờ về quốc tịch</w:t>
            </w:r>
          </w:p>
        </w:tc>
        <w:tc>
          <w:p/>
          <w:p>
            <w:pPr>
              <w:spacing w:after="0" w:before="0" w:lineRule="auto" w:line="276"/>
              <w:jc w:val="left"/>
            </w:pPr>
            <w:r>
              <w:rPr>
                <w:rFonts w:ascii="Times New Roman" w:hAnsi="Times New Roman" w:cs="Times New Roman" w:eastAsia="Times New Roman"/>
                <w:b w:val="false"/>
                <w:sz w:val="26"/>
              </w:rPr>
              <w:t>01-07-2025</w:t>
            </w:r>
          </w:p>
        </w:tc>
        <w:tc>
          <w:p/>
        </w:tc>
      </w:tr>
      <w:tr>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66.7/2025/NQ-CP</w:t>
            </w:r>
          </w:p>
        </w:tc>
        <w:tc>
          <w:p/>
          <w:p>
            <w:pPr>
              <w:spacing w:after="0" w:before="0" w:lineRule="auto" w:line="276"/>
              <w:jc w:val="left"/>
            </w:pPr>
            <w:r>
              <w:rPr>
                <w:rFonts w:ascii="Times New Roman" w:hAnsi="Times New Roman" w:cs="Times New Roman" w:eastAsia="Times New Roman"/>
                <w:b w:val="false"/>
                <w:sz w:val="26"/>
              </w:rPr>
              <w:t>15-11-2025</w:t>
            </w:r>
          </w:p>
        </w:tc>
        <w:tc>
          <w:p/>
          <w:p>
            <w:pPr>
              <w:spacing w:after="0" w:before="0" w:lineRule="auto" w:line="276"/>
              <w:jc w:val="left"/>
            </w:pPr>
            <w:r>
              <w:rPr>
                <w:rFonts w:ascii="Times New Roman" w:hAnsi="Times New Roman" w:cs="Times New Roman" w:eastAsia="Times New Roman"/>
                <w:b w:val="false"/>
                <w:sz w:val="26"/>
              </w:rPr>
              <w:t>Văn phòng Chính phủ</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Không</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2026-05-20T04:44:37Z</dcterms:created>
  <dc:creator>Apache POI</dc:creator>
</cp:coreProperties>
</file>