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2.001661.H50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văn hóa, học nghề, trợ cấp khó khăn ban đầu cho nạn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Nạn nhân hoặc gia đình nạn nhân (đối với trường hợp dưới 18 tuổi) hoặc gia đình người đi cùng dưới 18 tuổi gửi đơn theo Mẫu số 07 ban hành kèm theo Nghị định số 162/2025/NĐ-CP ngày 29/6/2025 của Chính phủ quy định chi tiết một số điều và biện pháp thi hành Luật Phòng, chống mua bán người đến Ủy ban nhân dân cấp xã nơi cư trú.</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được đơn của nạn nhân hoặc gia đình nạn nhân, Chủ tịch Ủy ban nhân dân cấp xã lập hồ sơ gửi cơ quan chuyên môn thuộc Sở Y tế.</w:t>
      </w:r>
    </w:p>
    <w:p>
      <w:pPr>
        <w:spacing w:after="0" w:before="0" w:lineRule="auto" w:line="276"/>
        <w:jc w:val="both"/>
      </w:pPr>
      <w:r>
        <w:rPr>
          <w:rFonts w:ascii="Times New Roman" w:hAnsi="Times New Roman" w:cs="Times New Roman" w:eastAsia="Times New Roman"/>
          <w:b w:val="false"/>
          <w:sz w:val="26"/>
        </w:rPr>
        <w:t>- Bước 3: Trong thời hạn 03 ngày làm việc, kể từ ngày nhận đủ hồ sơ đề nghị của Ủy ban nhân dân cấp xã, cơ quan chuyên môn thuộc Sở Y tế có trách nhiệm thẩm định trình Giám đốc Sở Y tế xem xét, quyết định (đối với trường hợp hỗ trợ học văn hóa, cơ quan chuyên môn thuộc Sở Y tế chủ trì phối hợp với cơ quan chuyên môn thuộc Sở Giáo dục và Đào tạo thống nhất trước khi trình Giám đốc Sở Y tế).</w:t>
      </w:r>
    </w:p>
    <w:p>
      <w:pPr>
        <w:spacing w:after="0" w:before="0" w:lineRule="auto" w:line="276"/>
        <w:jc w:val="both"/>
      </w:pPr>
      <w:r>
        <w:rPr>
          <w:rFonts w:ascii="Times New Roman" w:hAnsi="Times New Roman" w:cs="Times New Roman" w:eastAsia="Times New Roman"/>
          <w:b w:val="false"/>
          <w:sz w:val="26"/>
        </w:rPr>
        <w:t>- Bước 4: Trong thời hạn 03 ngày làm việc, kể từ ngày nhận được tờ trình của cơ quan chuyên môn thuộc Sở Y tế, Giám đốc Sở Y tế xem xét, quyết định chi hỗ trợ học văn hóa, học nghề, trợ cấp khó khăn ban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văn hóa của gia đình nạn nhân dưới 18 tuổi hoặc gia đình người đi cùng dưới 18 tuổi; Đơn đề nghị hỗ trợ học nghề, trợ cấp khó khăn ban đầu của nạn nhân hoặc gia đình nạn nhân (đối với trường hợp dưới 18 tuổi) theo Mẫu số 07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hỗ trợ học văn hóa, học nghề, trợ cấp khó khăn ban đầu cho nạn nhân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09/2013/NĐ-CP</w:t>
            </w:r>
          </w:p>
        </w:tc>
        <w:tc>
          <w:p/>
          <w:p>
            <w:pPr>
              <w:spacing w:after="0" w:before="0" w:lineRule="auto" w:line="276"/>
              <w:jc w:val="left"/>
            </w:pPr>
            <w:r>
              <w:rPr>
                <w:rFonts w:ascii="Times New Roman" w:hAnsi="Times New Roman" w:cs="Times New Roman" w:eastAsia="Times New Roman"/>
                <w:b w:val="false"/>
                <w:sz w:val="26"/>
              </w:rPr>
              <w:t>Nghị định 09/2013/NĐ-CP - Hướng dẫn Luật Phòng, chống mua bán người</w:t>
            </w:r>
          </w:p>
        </w:tc>
        <w:tc>
          <w:p/>
          <w:p>
            <w:pPr>
              <w:spacing w:after="0" w:before="0" w:lineRule="auto" w:line="276"/>
              <w:jc w:val="left"/>
            </w:pPr>
            <w:r>
              <w:rPr>
                <w:rFonts w:ascii="Times New Roman" w:hAnsi="Times New Roman" w:cs="Times New Roman" w:eastAsia="Times New Roman"/>
                <w:b w:val="false"/>
                <w:sz w:val="26"/>
              </w:rPr>
              <w:t>11-01-2013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35/2013/TT-BLĐTBXH</w:t>
            </w:r>
          </w:p>
        </w:tc>
        <w:tc>
          <w:p/>
          <w:p>
            <w:pPr>
              <w:spacing w:after="0" w:before="0" w:lineRule="auto" w:line="276"/>
              <w:jc w:val="left"/>
            </w:pPr>
            <w:r>
              <w:rPr>
                <w:rFonts w:ascii="Times New Roman" w:hAnsi="Times New Roman" w:cs="Times New Roman" w:eastAsia="Times New Roman"/>
                <w:b w:val="false"/>
                <w:sz w:val="26"/>
              </w:rPr>
              <w:t>Thông tư 35/2013/TT-BLĐTBXH - Hướng dẫn thi hành một số điều của Nghị định số 09/2013/NĐ-CP ngày 11 tháng 01 năm 2013 của Chính phủ quy định chi tiết thi hành một số điều của Luật Phòng, chống mua bán người</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162/2025/NĐ-CP</w:t>
            </w:r>
          </w:p>
        </w:tc>
        <w:tc>
          <w:p/>
          <w:p>
            <w:pPr>
              <w:spacing w:after="0" w:before="0" w:lineRule="auto" w:line="276"/>
              <w:jc w:val="left"/>
            </w:pPr>
            <w:r>
              <w:rPr>
                <w:rFonts w:ascii="Times New Roman" w:hAnsi="Times New Roman" w:cs="Times New Roman" w:eastAsia="Times New Roman"/>
                <w:b w:val="false"/>
                <w:sz w:val="26"/>
              </w:rPr>
              <w:t>Nghị định số 162/2025/NĐ-CP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29-06-2025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501/QĐ-UBND</w:t>
            </w:r>
          </w:p>
        </w:tc>
        <w:tc>
          <w:p/>
          <w:p>
            <w:pPr>
              <w:spacing w:after="0" w:before="0" w:lineRule="auto" w:line="276"/>
              <w:jc w:val="left"/>
            </w:pPr>
            <w:r>
              <w:rPr>
                <w:rFonts w:ascii="Times New Roman" w:hAnsi="Times New Roman" w:cs="Times New Roman" w:eastAsia="Times New Roman"/>
                <w:b w:val="false"/>
                <w:sz w:val="26"/>
              </w:rPr>
              <w:t>Về việc công bố Danh mục thủ tục hành chính mới ban hành, được sửa đổi, bổ sung và bị bãi bỏ trong lĩnh vực Phòng, chống tệ nạn xã hội thuộc thẩm quyền giải quyết của Sở Y tế,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07-10-2025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trong thời gian lưu trú tại cơ sở trợ giúp xã hội, cơ sở hỗ trợ nạn nhân, nếu có nhu cầu được hỗ trợ học văn hóa;
b)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trở về cộng đồng, nếu tiếp tục đi học được miễn học phí, hỗ trợ tiền mua sách giáo khoa và đồ dùng học tập theo chương trình học trong năm học đầu tiên và năm liền kề theo quy định của Chính phủ về cơ chế thu, quản lý học phí đối với cơ sở giáo dục thuộc hệ thống giáo dục quốc dân và chính sách miễn, giảm học phí, hỗ trợ chi phí học tập;
c) Nạn nhân là công dân Việt Nam, người không quốc tịch thường trú ở Việt Nam khi trở về nơi cư trú được hỗ trợ một lần tiền trợ cấp khó khăn ban đầu bằng một lần mức lương tối thiểu vùng theo quy định của Chính phủ tại thời điểm được cơ quan có thẩm quyền cấp Giấy xác nhận là nạn nhân;
d) Nạn nhân là công dân Việt Nam, người không quốc tịch thường trú ở Việt Nam khi trở về nơi cư trú nếu có nhu cầu học nghề thì được bố trí học nghề hoặc hỗ trợ một lần chi phí học nghề. Mức hỗ trợ theo chi phí đào tạo nghề ngắn hạn tương ứng tại các cơ sở đào tạo nghề ở địa phương nhưng tối đa không vượt quá mức quy định của Bộ Tài chính quy định quản lý và sử dụng kinh phí hỗ trợ đào tạo trình độ sơ cấp và đào tạo dưới 03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2026-05-02T11:26:21Z</dcterms:created>
  <dc:creator>Apache POI</dc:creator>
</cp:coreProperties>
</file>