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1.007931.000.00.00.H24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buôn bán phân bón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01 bộ hồ sơ đến Chi cục Trồng trọt và Bảo vệ thực vật/ Cơ quan chuyên ngành bảo vệ và kiểm dịch thực vật được Sở Nông nghiệp và PTNT giao thực hiện thủ tục hành chính (Cơ quan tiếp nhận hồ sơ).</w:t>
      </w:r>
    </w:p>
    <w:p>
      <w:pPr>
        <w:spacing w:after="0" w:before="0" w:lineRule="auto" w:line="276"/>
        <w:jc w:val="both"/>
      </w:pPr>
      <w:r>
        <w:rPr>
          <w:rFonts w:ascii="Times New Roman" w:hAnsi="Times New Roman" w:cs="Times New Roman" w:eastAsia="Times New Roman"/>
          <w:b w:val="false"/>
          <w:sz w:val="26"/>
        </w:rPr>
        <w:t>- Bước 2: Trả lời tính đầy đủ của thành phần hồ sơ:
a) Trường hợp nộp hồ sơ trực tiếp: Cơ quan tiếp nhận hồ sơ kiểm tra thành phần hồ sơ và trả lời ngay khi tổ chức, cá nhân đến nộp hồ sơ;
b) Trường hợp nộp hồ sơ qua dịch vụ bưu chính hoặc qua môi trường mạng: Trong thời hạn không quá 02 ngày làm việc, Cơ quan tiếp nhận hồ sơ xem xét tính đầy đủ, nếu hồ sơ chưa đầy đủ theo quy định, Cơ quan tiếp nhận hồ sơ trả lại hồ sơ và thông báo cho tổ chức, cá nhân biết để bổ sung, hoàn thiện.
</w:t>
      </w:r>
    </w:p>
    <w:p>
      <w:pPr>
        <w:spacing w:after="0" w:before="0" w:lineRule="auto" w:line="276"/>
        <w:jc w:val="both"/>
      </w:pPr>
      <w:r>
        <w:rPr>
          <w:rFonts w:ascii="Times New Roman" w:hAnsi="Times New Roman" w:cs="Times New Roman" w:eastAsia="Times New Roman"/>
          <w:b w:val="false"/>
          <w:sz w:val="26"/>
        </w:rPr>
        <w:t>- Bước 3: Thẩm định và cấp Giấy chứng nhận đủ điều kiện buôn bán phân bón
Trong thời hạn 10 ngày làm việc, kể từ ngày nhận đủ hồ sơ, Cơ quan tiếp nhận hồ sơ thẩm định nội dung hồ sơ, nếu hồ sơ đạt yêu cầu thực hiện kiểm tra điều kiện buôn bán phân bón tại tổ chức, cá nhân và lập biên bản kiểm tra theo Mẫu số 12 tại Phụ lục I ban hành kèm theo Nghị định số 84/2019/NĐ-CP.
Trường hợp hồ sơ không đạt yêu cầu, Cơ quan tiếp nhận hồ sơ trả lại hồ sơ và nêu rõ lý do để tổ chức, cá nhân biết tiếp tục hoàn thiện.
Trường hợp tổ chức, cá nhân buôn bán phân bón không đáp ứng điều kiện, phải thực hiện khắc phục, sau khi khắc phục có văn bản thông báo đến Cơ quan tiếp nhận hồ sơ để kiểm tra nội dung đã khắc phục. Trường hợp kết quả kiểm tra đạt yêu cầu, trong thời hạn 03 ngày làm việc kể từ ngày kết thúc kiểm tra, Cơ quan tiếp nhận hồ sơ cấp Giấy chứng nhận đủ điều kiện buôn bán phân bón theo Mẫu số 11 tại Phụ lục I ban hành kèm theo Nghị định số 84/2019/NĐ-CP. Trường hợp không cấp Giấy chứng nhận đủ điều kiện buôn bán phân bón phải trả lời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6.5 ngày làm việc (kể từ ngày nhận đủ hồ sơ, không tính thời gian khắc phục nếu có của tổ chức, cá nhân). </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cấp giấy chứng nhận đủ điều kiện buôn bán phân bón: 500.000 đồng/01 cơ sở/lần.)</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6.5 ngày làm việc (kể từ ngày nhận đủ hồ sơ, không tính thời gian khắc phục nếu có của tổ chức, cá nhân). </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cấp giấy chứng nhận đủ điều kiện buôn bán phân bón: 500.000 đồng/01 cơ sở/lần.)</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6.5 ngày làm việc (kể từ ngày nhận đủ hồ sơ, không tính thời gian khắc phục nếu có của tổ chức, cá nhân). </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cấp giấy chứng nhận đủ điều kiện buôn bán phân bón: 500.000 đồng/01 cơ sở/lần.)</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buôn bán phân bón theo Phụ lục II ban hành kèm theo Nghị định số 130/2022/NĐ-CP.</w:t>
            </w:r>
          </w:p>
        </w:tc>
        <w:tc>
          <w:p/>
          <w:p>
            <w:pPr>
              <w:spacing w:after="0" w:before="0" w:lineRule="auto" w:line="276"/>
              <w:jc w:val="left"/>
            </w:pPr>
            <w:r>
              <w:rPr>
                <w:rFonts w:ascii="Times New Roman" w:hAnsi="Times New Roman" w:cs="Times New Roman" w:eastAsia="Times New Roman"/>
                <w:b w:val="false"/>
                <w:sz w:val="26"/>
              </w:rPr>
              <w:t>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tốt nghiệp trung cấp trở lên của người trực tiếp buôn bán phân bón theo quy định tại điểm c khoản 2 Điều 42 Luật Trồng trọt (trường hợp có thông tin về chứng nhận đã được tập huấn, bồi dưỡng chuyên môn về phân bón được thể hiện tại Đơn đề nghị cấp Giấy chứng nhận đủ điều kiện buôn bán phân bón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định về các loại thành phần hồ sơ: - Trường hợp nộp hồ sơ trực tiếp, qua dịch vụ bưu chính: Các thành phần hồ sơ phải là bản chính hoặc bản sao từ sổ gốc hoặc bản sao chứng thực hoặc nộp bản sao xuất trình bản chính để đối chiếu. - Trường hợp nộp hồ sơ qua môi trường mạng: Các thành phần hồ sơ phải được scan, chụp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Trồng trọt và Bảo vệ thực vật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buôn bán phân bón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31/2018/QH14</w:t>
            </w:r>
          </w:p>
        </w:tc>
        <w:tc>
          <w:p/>
          <w:p>
            <w:pPr>
              <w:spacing w:after="0" w:before="0" w:lineRule="auto" w:line="276"/>
              <w:jc w:val="left"/>
            </w:pPr>
            <w:r>
              <w:rPr>
                <w:rFonts w:ascii="Times New Roman" w:hAnsi="Times New Roman" w:cs="Times New Roman" w:eastAsia="Times New Roman"/>
                <w:b w:val="false"/>
                <w:sz w:val="26"/>
              </w:rPr>
              <w:t>- Điều 42 Luật Trồng trọt năm 2018;</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84/2019/NĐ-CP</w:t>
            </w:r>
          </w:p>
        </w:tc>
        <w:tc>
          <w:p/>
          <w:p>
            <w:pPr>
              <w:spacing w:after="0" w:before="0" w:lineRule="auto" w:line="276"/>
              <w:jc w:val="left"/>
            </w:pPr>
            <w:r>
              <w:rPr>
                <w:rFonts w:ascii="Times New Roman" w:hAnsi="Times New Roman" w:cs="Times New Roman" w:eastAsia="Times New Roman"/>
                <w:b w:val="false"/>
                <w:sz w:val="26"/>
              </w:rPr>
              <w:t>- Điều 4, Điều 13, Điều 15, Điều 17, Điều 26 Nghị định số 84/2019/NĐ-CP ngày 14/11/2019 của Chính phủ quy định về quản lý phân bón;</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14/2018/TT-BTC</w:t>
            </w:r>
          </w:p>
        </w:tc>
        <w:tc>
          <w:p/>
          <w:p>
            <w:pPr>
              <w:spacing w:after="0" w:before="0" w:lineRule="auto" w:line="276"/>
              <w:jc w:val="left"/>
            </w:pPr>
            <w:r>
              <w:rPr>
                <w:rFonts w:ascii="Times New Roman" w:hAnsi="Times New Roman" w:cs="Times New Roman" w:eastAsia="Times New Roman"/>
                <w:b w:val="false"/>
                <w:sz w:val="26"/>
              </w:rPr>
              <w:t>- Điều 2 Thông tư số 14/2018/TT-BTC ngày 07/02/2018 của Bộ Tài Chính Sửa đổi, bổ sung một số điều của Thông tư số 207/2016/TT-BTC ngày 09 tháng 11 năm 2016 của Bộ trưởng Bộ Tài chính quy định mức thu, chế độ thu, nộp, quản lý và sử dụng phí, lệ phí trong lĩnh vực trồng trọt và giống cây lâm nghiệp.</w:t>
            </w:r>
          </w:p>
        </w:tc>
        <w:tc>
          <w:p/>
          <w:p>
            <w:pPr>
              <w:spacing w:after="0" w:before="0" w:lineRule="auto" w:line="276"/>
              <w:jc w:val="left"/>
            </w:pPr>
            <w:r>
              <w:rPr>
                <w:rFonts w:ascii="Times New Roman" w:hAnsi="Times New Roman" w:cs="Times New Roman" w:eastAsia="Times New Roman"/>
                <w:b w:val="false"/>
                <w:sz w:val="26"/>
              </w:rPr>
              <w:t>07-02-2018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Nghị định 94/2019/NĐ-CP</w:t>
            </w:r>
          </w:p>
        </w:tc>
        <w:tc>
          <w:p/>
          <w:p>
            <w:pPr>
              <w:spacing w:after="0" w:before="0" w:lineRule="auto" w:line="276"/>
              <w:jc w:val="left"/>
            </w:pPr>
            <w:r>
              <w:rPr>
                <w:rFonts w:ascii="Times New Roman" w:hAnsi="Times New Roman" w:cs="Times New Roman" w:eastAsia="Times New Roman"/>
                <w:b w:val="false"/>
                <w:sz w:val="26"/>
              </w:rPr>
              <w:t>Điều 6 Nghị định số 94/2019/NĐ-CP ngày 13/12/2019 của Chính phủ quy định chi tiết một số điều của Luật Trồng trọt về giống cây trồng và canh tác</w:t>
            </w:r>
          </w:p>
        </w:tc>
        <w:tc>
          <w:p/>
          <w:p>
            <w:pPr>
              <w:spacing w:after="0" w:before="0" w:lineRule="auto" w:line="276"/>
              <w:jc w:val="left"/>
            </w:pPr>
            <w:r>
              <w:rPr>
                <w:rFonts w:ascii="Times New Roman" w:hAnsi="Times New Roman" w:cs="Times New Roman" w:eastAsia="Times New Roman"/>
                <w:b w:val="false"/>
                <w:sz w:val="26"/>
              </w:rPr>
              <w:t>13-12-2019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130/2022/NĐ-CP</w:t>
            </w:r>
          </w:p>
        </w:tc>
        <w:tc>
          <w:p/>
          <w:p>
            <w:pPr>
              <w:spacing w:after="0" w:before="0" w:lineRule="auto" w:line="276"/>
              <w:jc w:val="left"/>
            </w:pPr>
            <w:r>
              <w:rPr>
                <w:rFonts w:ascii="Times New Roman" w:hAnsi="Times New Roman" w:cs="Times New Roman" w:eastAsia="Times New Roman"/>
                <w:b w:val="false"/>
                <w:sz w:val="26"/>
              </w:rPr>
              <w:t>Nghị định 130/2022/NĐ-CP</w:t>
            </w:r>
          </w:p>
        </w:tc>
        <w:tc>
          <w:p/>
          <w:p>
            <w:pPr>
              <w:spacing w:after="0" w:before="0" w:lineRule="auto" w:line="276"/>
              <w:jc w:val="left"/>
            </w:pPr>
            <w:r>
              <w:rPr>
                <w:rFonts w:ascii="Times New Roman" w:hAnsi="Times New Roman" w:cs="Times New Roman" w:eastAsia="Times New Roman"/>
                <w:b w:val="false"/>
                <w:sz w:val="26"/>
              </w:rPr>
              <w:t>31-12-2022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chứng nhận đủ điều kiện buôn bán phân bón bao gồm:
- Có địa điểm giao dịch hợp pháp, rõ ràng;
- Có đầy đủ hồ sơ, giấy tờ truy xuất nguồn gốc phân bón theo quy định;
- Người trực tiếp buôn bán phân bón phải được tập huấn, bồi dưỡng chuyên môn về phân bón theo hướng dẫn của Bộ Nông nghiệp và Phát triển nông thôn, trừ trường hợp đã có trình độ từ trung cấp trở lên thuộc một trong các chuyên ngành về trồng trọt, bảo vệ thực vật, nông hóa thổ nhưỡng, khoa học đất, nông học, hóa học, sinh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2026-05-09T14:23:46Z</dcterms:created>
  <dc:creator>Apache POI</dc:creator>
</cp:coreProperties>
</file>