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huyện tiếp nhận Hồ sơ đề nghị cấp điều chỉnh Giấy chứng nhận đủ điều kiện cửa hàng bán lẻ LPG chai của thương nhân. 
- Trong thời gian 06 ngày làm việc kể từ ngày nhận được hồ sơ đầy đủ và hợp lệ, ủy ban nhân dân cấp huyện có trách nhiệm cấp lại Giấy chứng nhận đủ điều kiện cho thương nhân.
-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TP.Biên Hòa và TP.Long Khánh (Nếu có thẩm định))</w:t>
            </w:r>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 Đối với hộ kinh doanh trên địa bàn các huyện (Nếu có thẩm định ))</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 Đối với hộ kinh doanh trên địa bàn các huyện (Nếu có thẩm định ))</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TP.Biên Hòa và TP.Long Khánh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 Đối với hộ kinh doanh trên địa bàn các huyện (Nếu có thẩm định ))</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TP.Biên Hòa và TP.Long Khánh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đề nghị cấp điều chỉnh Giấy chứng nhận đủ điều kiện cửa hàng bán lẻ LPG chai bao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08/2006/TT-BTM</w:t>
            </w:r>
          </w:p>
        </w:tc>
        <w:tc>
          <w:p/>
          <w:p>
            <w:pPr>
              <w:spacing w:after="0" w:before="0" w:lineRule="auto" w:line="276"/>
              <w:jc w:val="left"/>
            </w:pPr>
            <w:r>
              <w:rPr>
                <w:rFonts w:ascii="Times New Roman" w:hAnsi="Times New Roman" w:cs="Times New Roman" w:eastAsia="Times New Roman"/>
                <w:b w:val="false"/>
                <w:sz w:val="26"/>
              </w:rPr>
              <w:t>Hướng dẫn cách xác định xuất xứ đối với hàng hóa xuất khẩu, nhập khẩu có xuất xứ không thuần túy theo Nghị định số 19/2006/NĐ-CP ngày 20 tháng 2 năm 2006 của Chính phủ quy định chi tiết Luật Thương mại về xuất xứ hàng hóa</w:t>
            </w:r>
          </w:p>
        </w:tc>
        <w:tc>
          <w:p/>
          <w:p>
            <w:pPr>
              <w:spacing w:after="0" w:before="0" w:lineRule="auto" w:line="276"/>
              <w:jc w:val="left"/>
            </w:pPr>
            <w:r>
              <w:rPr>
                <w:rFonts w:ascii="Times New Roman" w:hAnsi="Times New Roman" w:cs="Times New Roman" w:eastAsia="Times New Roman"/>
                <w:b w:val="false"/>
                <w:sz w:val="26"/>
              </w:rPr>
              <w:t>17-04-2006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2026-05-24T18:52:08Z</dcterms:created>
  <dc:creator>Apache POI</dc:creator>
</cp:coreProperties>
</file>