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2.001960.000.00.00.H18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w:t>
      </w:r>
    </w:p>
    <w:p>
      <w:pPr>
        <w:spacing w:after="0" w:before="0" w:lineRule="auto" w:line="276"/>
        <w:jc w:val="both"/>
      </w:pPr>
      <w:r>
        <w:rPr>
          <w:rFonts w:ascii="Times New Roman" w:hAnsi="Times New Roman" w:cs="Times New Roman" w:eastAsia="Times New Roman"/>
          <w:b w:val="false"/>
          <w:sz w:val="26"/>
        </w:rPr>
        <w:t>- Bước 2: Xác nhận đơn đề nghị cấp chính sách nội trú cho học sinh, sinh viên
Trong thời hạn 10 ngày làm việc kể từ ngày nhận được đơn đề nghị, thủ trưởng cơ sở giáo dục nghề nghiệp có trách nhiệm xác nhận vào đơn đề nghị cấp chính sách nội trú cho học sinh, sinh viên.</w:t>
      </w:r>
    </w:p>
    <w:p>
      <w:pPr>
        <w:spacing w:after="0" w:before="0" w:lineRule="auto" w:line="276"/>
        <w:jc w:val="both"/>
      </w:pPr>
      <w:r>
        <w:rPr>
          <w:rFonts w:ascii="Times New Roman" w:hAnsi="Times New Roman" w:cs="Times New Roman" w:eastAsia="Times New Roman"/>
          <w:b w:val="false"/>
          <w:sz w:val="26"/>
        </w:rPr>
        <w:t>- Bước 3: Nộp hồ sơ
Học sinh, sinh viên thuộc đối tượng quy định tại Quyết định số 53/2015/QĐ-TTg nộp hồ sơ tới Trung tâm Phục vụ hành chính công cấp xã nơi học sinh, sinh viên đó có hộ khẩu thường trú.</w:t>
      </w:r>
    </w:p>
    <w:p>
      <w:pPr>
        <w:spacing w:after="0" w:before="0" w:lineRule="auto" w:line="276"/>
        <w:jc w:val="both"/>
      </w:pPr>
      <w:r>
        <w:rPr>
          <w:rFonts w:ascii="Times New Roman" w:hAnsi="Times New Roman" w:cs="Times New Roman" w:eastAsia="Times New Roman"/>
          <w:b w:val="false"/>
          <w:sz w:val="26"/>
        </w:rPr>
        <w:t>- Bước 4: Thẩm định hồ sơ cấp chính sách nội trú
Ủy ban nhân dân cấp xã tổ chức đối chiếu, thẩm định, phê duyệt danh sách đối tượng được hưởng chính sách. Trường hợp hồ sơ không hợp lệ, Ủy ban nhân dân cấp xã có trách nhiệm thông báo cho người học được biết trong thời hạn 03 ngày làm việc kể từ ngày nhận được hồ sơ.</w:t>
      </w:r>
    </w:p>
    <w:p>
      <w:pPr>
        <w:spacing w:after="0" w:before="0" w:lineRule="auto" w:line="276"/>
        <w:jc w:val="both"/>
      </w:pPr>
      <w:r>
        <w:rPr>
          <w:rFonts w:ascii="Times New Roman" w:hAnsi="Times New Roman" w:cs="Times New Roman" w:eastAsia="Times New Roman"/>
          <w:b w:val="false"/>
          <w:sz w:val="26"/>
        </w:rPr>
        <w:t>- Bước 5: Chi trả học bổng chính sách và các khoản hỗ trợ
Ủy ban nhân dân cấp xã nơi học sinh, sinh viên có hộ khẩu thường trú chịu trách nhiệm quản lý, tổ chức thực hiện chi trả học bổng chính sách và các khoản hỗ trợ khác trực tiếp bằng tiền mặt cho học sinh, sinh viên đang học tại cơ sở giáo dục nghề nghiệp tư thục hoặc cơ sở giáo dục nghề nghiệp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kể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hợp học sinh, sinh viên chưa được nhận học bổng chính sách và các khoản hỗ trợ khác theo thời hạn quy định thì được truy lĩnh trong lần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2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4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 và giáo dục đại học công lập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cơ sở giáo dục nghề nghiệp tư thục và cơ sở giáo dục nghề nghiệp có vốn đầu tư nước ngoài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2026-05-23T20:43:24Z</dcterms:created>
  <dc:creator>Apache POI</dc:creator>
</cp:coreProperties>
</file>