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chính sách nội trú cho học sinh, sinh viên tham gia chương trình đào tạo trình độ cao đẳng, trung cấp tại các cơ sở giáo dục nghề nghiệp công lập trực thuộc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20 ngày làm việc kể từ ngày khai giảng, cơ sở giáo dục nghề nghiệp thông báo cho học sinh, sinh viên tham gia chương trình đào tạo trình độ trung cấp, cao đẳng tại cơ sở giáo dục nghề nghiệp về chính sách nội trú.</w:t>
      </w:r>
    </w:p>
    <w:p>
      <w:pPr>
        <w:spacing w:after="0" w:before="0" w:lineRule="auto" w:line="276"/>
        <w:jc w:val="both"/>
      </w:pPr>
      <w:r>
        <w:rPr>
          <w:rFonts w:ascii="Times New Roman" w:hAnsi="Times New Roman" w:cs="Times New Roman" w:eastAsia="Times New Roman"/>
          <w:b w:val="false"/>
          <w:sz w:val="26"/>
        </w:rPr>
        <w:t>- Bước 2: Học sinh, sinh viên thuộc đối tượng quy định tại Quyết định số 53/2015/QĐ-TTg nộp hồ sơ tới Trung tâm Phục vụ hành chính công tỉnh Điện Biên nơi có cơ sở giáo dục học sinh, sinh viên đang theo học.</w:t>
      </w:r>
    </w:p>
    <w:p>
      <w:pPr>
        <w:spacing w:after="0" w:before="0" w:lineRule="auto" w:line="276"/>
        <w:jc w:val="both"/>
      </w:pPr>
      <w:r>
        <w:rPr>
          <w:rFonts w:ascii="Times New Roman" w:hAnsi="Times New Roman" w:cs="Times New Roman" w:eastAsia="Times New Roman"/>
          <w:b w:val="false"/>
          <w:sz w:val="26"/>
        </w:rPr>
        <w:t>- Bước 3: Thẩm định hồ sơ cấp chính sách nội trú Thủ trưởng cơ sở giáo dục nghề nghiệp tổ chức đối chiếu, thẩm định và chịu trách nhiệm về tính chính xác của hồ sơ; tổng hợp, lập danh sách đối tượng được hưởng chính sách. Trường hợp hồ sơ không hợp lệ, cơ sở giáo dục nghề nghiệp có trách nhiệm thông báo cho người học được biết trong thời hạn 03 ngày làm việc kể từ ngày nhận được hồ sơ.</w:t>
      </w:r>
    </w:p>
    <w:p>
      <w:pPr>
        <w:spacing w:after="0" w:before="0" w:lineRule="auto" w:line="276"/>
        <w:jc w:val="both"/>
      </w:pPr>
      <w:r>
        <w:rPr>
          <w:rFonts w:ascii="Times New Roman" w:hAnsi="Times New Roman" w:cs="Times New Roman" w:eastAsia="Times New Roman"/>
          <w:b w:val="false"/>
          <w:sz w:val="26"/>
        </w:rPr>
        <w:t>- Bước 4: Chi trả học bổng chính sách và các khoản hỗ trợ Cơ sở giáo dục nghề nghiệp nơi học sinh, sinh viên đang theo học chịu trách nhiệm quản lý, tổ chức thực hiện chi trả học bổng chính sách và các khoản hỗ trợ khác trực tiếp bằng tiền mặt cho học sinh, sinh viên đang học tại cơ sở giáo dục nghề nghiệp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giáo dục nghề nghiệp công lập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(Cơ sở giáo dục nghề nghiệp công lập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giáo dục nghề nghiệp công lập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(Cơ sở giáo dục nghề nghiệp công lập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giáo dục nghề nghiệp công lập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(Cơ sở giáo dục nghề nghiệp công lập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chính sách nội trú theo mẫu tại Mẫu số 1 ban hành kèm theo Thông tư số 08/2023/TT-BLĐTBXH.</w:t>
            </w:r>
          </w:p>
        </w:tc>
        <w:tc>
          <w:p/>
          <w:p>
            <w:pPr>
              <w:spacing w:after="0" w:before="0" w:lineRule="auto" w:line="276"/>
              <w:jc w:val="left"/>
            </w:pPr>
            <w:r>
              <w:rPr>
                <w:rFonts w:ascii="Times New Roman" w:hAnsi="Times New Roman" w:cs="Times New Roman" w:eastAsia="Times New Roman"/>
                <w:b w:val="false"/>
                <w:sz w:val="26"/>
              </w:rPr>
              <w:t>Mau01.docx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học sinh, sinh viên người dân tộc thiểu số thuộc hộ nghèo, hộ cận nghèo,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sinh viên người dân tộc thiểu số là người khuyết tật, ngoài đơn đề nghị cấp chính sách nội trú phải bổ sung Giấy xác nhận khuyết tật do Ủy ban nhân dân cấp xã cấp hoặc Quyết định của Ủy ban nhân dân cấp xã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sinh viên người Kinh thuộc hộ nghèo, hộ cận nghèo có hộ khẩu thường trú tại vùng có điều kiện kinh tế - xã hội đặc biệt khó khăn, vùng dân tộc thiểu số, biên giới, hải đảo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sinh viên người Kinh là người khuyết tật có hộ khẩu thường trú tại vùng có điều kiện kinh tế - xã hội đặc biệt khó khăn, vùng dân tộc thiểu số, biên giới, hải đảo ngoài đơn đề nghị cấp chính sách nội trú phải bổ sung Giấy xác nhận khuyết tật do Ủy ban nhân dân cấp xã cấp hoặc Quyết định của Ủy ban nhân dân cấp xã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sinh viên tốt nghiệp trường phổ thông dân tộc nội trú, ngoài đơn đề nghị cấp chính sách nội trú phải bổ sung bằng tốt nghiệp hoặc giấy chứng nhận tốt nghiệp tạm thời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sinh viên ở lại trường trong dịp Tết Nguyên đán, ngoài một số giấy tờ trên phải bổ sung Đơn đề nghị xác nhận và cấp hỗ trợ theo mẫu tại Mẫu số 3 ban hành kèm theo Thông tư số 08/2023/TT-BLĐTBXH.</w:t>
            </w:r>
          </w:p>
        </w:tc>
        <w:tc>
          <w:p/>
          <w:p>
            <w:pPr>
              <w:spacing w:after="0" w:before="0" w:lineRule="auto" w:line="276"/>
              <w:jc w:val="left"/>
            </w:pPr>
            <w:r>
              <w:rPr>
                <w:rFonts w:ascii="Times New Roman" w:hAnsi="Times New Roman" w:cs="Times New Roman" w:eastAsia="Times New Roman"/>
                <w:b w:val="false"/>
                <w:sz w:val="26"/>
              </w:rPr>
              <w:t>Mau03.docx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nghề nghiệp và giáo dục đại học công lập, Cơ sở giáo dục nghề nghiệp,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giáo dục nghề nghiệp và giáo dục đại học công lập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và các khoản hỗ trợ khác được cấp cho học sinh, sinh viên tham gia chương trình đào tạo trình độ cao đẳng, trung cấp tại các cơ sở giáo dục nghề nghiệp công lập trực thuộc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18/2018/TT-BLĐTBXH</w:t>
            </w:r>
          </w:p>
        </w:tc>
        <w:tc>
          <w:p/>
          <w:p>
            <w:pPr>
              <w:spacing w:after="0" w:before="0" w:lineRule="auto" w:line="276"/>
              <w:jc w:val="left"/>
            </w:pPr>
            <w:r>
              <w:rPr>
                <w:rFonts w:ascii="Times New Roman" w:hAnsi="Times New Roman" w:cs="Times New Roman" w:eastAsia="Times New Roman"/>
                <w:b w:val="false"/>
                <w:sz w:val="26"/>
              </w:rPr>
              <w:t>Thông tư 18/2018/TT-BLĐTBXH - Thông tư sửa đổi, bổ sung một số điều của các Thông tư liên quan đến thủ tục hành chính thuộc phạm vi chức năng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30-10-2018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53/2015/QĐ-TTg</w:t>
            </w:r>
          </w:p>
        </w:tc>
        <w:tc>
          <w:p/>
          <w:p>
            <w:pPr>
              <w:spacing w:after="0" w:before="0" w:lineRule="auto" w:line="276"/>
              <w:jc w:val="left"/>
            </w:pPr>
            <w:r>
              <w:rPr>
                <w:rFonts w:ascii="Times New Roman" w:hAnsi="Times New Roman" w:cs="Times New Roman" w:eastAsia="Times New Roman"/>
                <w:b w:val="false"/>
                <w:sz w:val="26"/>
              </w:rPr>
              <w:t>Quyết định 53/2015/QĐ-TTg -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12/2016/TTLT-BLĐTBXH-BGDĐT-BTC</w:t>
            </w:r>
          </w:p>
        </w:tc>
        <w:tc>
          <w:p/>
          <w:p>
            <w:pPr>
              <w:spacing w:after="0" w:before="0" w:lineRule="auto" w:line="276"/>
              <w:jc w:val="left"/>
            </w:pPr>
            <w:r>
              <w:rPr>
                <w:rFonts w:ascii="Times New Roman" w:hAnsi="Times New Roman" w:cs="Times New Roman" w:eastAsia="Times New Roman"/>
                <w:b w:val="false"/>
                <w:sz w:val="26"/>
              </w:rPr>
              <w:t>Thông tư liên tịch số 12/2016/TTLT-BLĐTBXH-BGDĐT-BTC ngày 16/6/2016 của Bộ Lao động - Thương binh và Xã hội, Bộ Giáo dục và Đào tạo, Bộ Tài chính hướng dẫn thực hiện chính sách nội trú quy định tại Quyết định số 53/2015/QĐ-TTg ngày 20/10/2015 của Thủ tướng Chính phủ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16-06-2016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sinh viên tham gia chương trình đào tạo trình độ cao đẳng, trình độ trung cấp hệ chính quy tại các cơ sở giáo dục nghề nghiệp công lập thuộc một trong những đối tượng sau:
- Học sinh, sinh viên người dân tộc thiểu số thuộc hộ nghèo, hộ cận nghèo, người khuyết tật.
- Học sinh, sinh viên tốt nghiệp trường phổ thông dân tộc nội trú.
- Học sinh, sinh viên người dân tộc Kinh thuộc hộ nghèo, thuộc hộ cận nghèo hoặc là người khuyết tật có hộ khẩu thường trú tại vùng có điều kiện kinh tế - xã hội đặc biệt khó khăn, vùng dân tộc thiểu số, biên giới, hải đảo.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2026-05-23T20:43:01Z</dcterms:created>
  <dc:creator>Apache POI</dc:creator>
</cp:coreProperties>
</file>