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Hồ sơ, thẩm quyền, thủ tục cấp lại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p>
      <w:pPr>
        <w:spacing w:after="0" w:before="0" w:lineRule="auto" w:line="276"/>
        <w:jc w:val="both"/>
      </w:pPr>
      <w:r>
        <w:rPr>
          <w:rFonts w:ascii="Times New Roman" w:hAnsi="Times New Roman" w:cs="Times New Roman" w:eastAsia="Times New Roman"/>
          <w:b w:val="false"/>
          <w:sz w:val="26"/>
        </w:rPr>
        <w:t>ổ chức, cá nhân sản xuất rượu thủ công nhằm mục đích kinh doanh nộp 01 bộ hồ sơ đề nghị cấp lại Giấy phép sản xuất rượu thủ công nhằm mục đích kinh doanh cho Trung tâm Phục vụ hành chính công cấp xã hoặc Trung tâm Phục vụ hành chính công tỉnh</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lại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0" w:lineRule="auto" w:line="276"/>
        <w:jc w:val="both"/>
      </w:pPr>
      <w:r>
        <w:rPr>
          <w:rFonts w:ascii="Times New Roman" w:hAnsi="Times New Roman" w:cs="Times New Roman" w:eastAsia="Times New Roman"/>
          <w:b w:val="false"/>
          <w:sz w:val="26"/>
        </w:rPr>
        <w:t>UBND cấp xã căn cứ vào hồ sơ đã lưu và hồ sơ đề nghị cấp lại của thương nhân để cấp lại giấy phép.</w:t>
      </w:r>
    </w:p>
    <w:p>
      <w:pPr>
        <w:spacing w:after="0" w:before="0" w:lineRule="auto" w:line="276"/>
        <w:jc w:val="both"/>
      </w:pPr>
      <w:r>
        <w:rPr>
          <w:rFonts w:ascii="Times New Roman" w:hAnsi="Times New Roman" w:cs="Times New Roman" w:eastAsia="Times New Roman"/>
          <w:b w:val="false"/>
          <w:sz w:val="26"/>
        </w:rPr>
        <w:t>Thời hạn của giấy phép sẽ được giữ nguyên như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2026-05-15T12:01:41Z</dcterms:created>
  <dc:creator>Apache POI</dc:creator>
</cp:coreProperties>
</file>