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cần bảo vệ khẩn cấp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trợ giúp xã hội có trách nhiệm tiếp nhận ngay các đối tượng cần sự bảo vệ khẩn cấp để chăm sóc, nuôi dưỡng và hoàn thiện các thủ tục theo quy trình sau:
- Bước 1. Lập biên bản tiếp nhận có chữ ký của cá nhân hoặc đại diện cơ quan, đơn vị phát hiện ra đối tượng (nếu có), chính quyền (hoặc công an) cấp xã, đại diện cơ sở trợ giúp xã hội. Đối với đối tượng là nạn nhân của bạo lực gia đình, nạn nhân bị xâm hại tình dục, nạn nhân bị buôn bán và nạn nhân bị cưỡng bức lao động, biên bản tiếp nhận có chữ ký của đối tượng (nếu có thể).
- Bước 2. Đánh giá về mức độ tổn thương, khả năng phục hồi và nhu cầu trợ giúp của đối tượng để có kế hoạch trợ giúp đối tượng.
- Bước 3. Bảo đảm an toàn và chữa trị những tổn thương về thân thể hoặc tinh thần cho đối tượng kịp thời; đối với trẻ em bị bỏ rơi, thông báo trên các phương tiện thông tin đại chúng trong thời hạn 25 ngày làm việc.
- Bước 4. Quyết định trợ giúp đối tượng tại cơ sở trợ giúp xã hội hoặc chuyển đối tượng về gia đình, cộng đồng.
- Bước 5. Hoàn thành các thủ tục, hồ sơ của đối tượng theo quy định, Trường hợp là trẻ em bị bỏ rơi, cơ sở thực hiện các thủ tục khai sinh cho trẻ theo quy định của pháp luật về hộ tịch.
Các thủ tục, hồ sơ phải hoàn thiện trong 10 ngày làm việc, kể từ khi tiếp nhận đối tượng, trường hợp kéo dài quá 10 ngày làm việc, phải do cơ quan quản lý cấp trên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Tiếp nhận ngay các đối tượng cần sự bảo vệ khẩn cấp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trợ giúp xã hội có trách nhiệm tiếp nhận ngay các đối tượng cần sự bảo vệ khẩn cấp để chăm sóc, nuôi dưỡng và hoàn thiện các thủ tục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Tiếp nhận ngay các đối tượng cần sự bảo vệ khẩn cấp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trợ giúp xã hội có trách nhiệm tiếp nhận ngay các đối tượng cần sự bảo vệ khẩn cấp để chăm sóc, nuôi dưỡng và hoàn thiện các thủ tục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minh nhân dân, căn cước công dân  hoặc giấy tờ tùy thân của đối tượng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đối với trường hợp khẩn cấp có nguy  cơ đe dọa đến an toàn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Quảng Trị, Cơ sở trợ giúp xã hội,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giúp đối tượng tại cơ sở trợ giúp xã hội hoặc chuyển đối tượng về gia đình, cộng đồng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29/2014/TTLT-BLĐTBXH-BTC</w:t>
            </w:r>
          </w:p>
        </w:tc>
        <w:tc>
          <w:p/>
          <w:p>
            <w:pPr>
              <w:spacing w:after="0" w:before="0" w:lineRule="auto" w:line="276"/>
              <w:jc w:val="left"/>
            </w:pPr>
            <w:r>
              <w:rPr>
                <w:rFonts w:ascii="Times New Roman" w:hAnsi="Times New Roman" w:cs="Times New Roman" w:eastAsia="Times New Roman"/>
                <w:b w:val="false"/>
                <w:sz w:val="26"/>
              </w:rPr>
              <w:t>Thông tư liên tịch 29/2014/TTLT-BLĐTBXH-BTC - Hướng dẫn thực hiện một số điều của Nghị định số 136/2013/NĐ-CP ngày 21 tháng 10 năm 2013 của Chính phủ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993/QĐ-UBND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được sửa đổi, bổ sung hoặc bị bãi bỏ trong lĩnh vực Bảo trợ xã hội, Trẻ em, Dân số, Bà mẹ - Trẻ em thuộc thẩm quyền giải quyết của UBND tỉnh, Sở Y tế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25-09-2025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cần bảo vệ khẩn cấp theo quy định tại khoản 2 Điều 24 Nghị định số 20/2021/NĐ-CP, cụ thể:
- Nạn nhân của bạo lực gia đình; nạn nhân bị xâm hại tình dục; nạn nhân bị buôn bán; nạn nhân bị cưỡng bức lao động;
- Trẻ em, người lang thang xin ăn trong thời gian chờ đưa về nơi cư trú;
- Đối tượng cần bảo vệ khẩn cấp khác theo quyết định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2026-05-02T10:22:04Z</dcterms:created>
  <dc:creator>Apache POI</dc:creator>
</cp:coreProperties>
</file>