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khoáng sản vật liệu xây dựng thông thường trong diện tích dự án xây dựng công trình (đã được cơ quan nhà nước có thẩm quyền phê duyệt hoặc cho phép đầu tư mà sản phẩm khai thác chỉ được sử dụng cho xây dựng công trình đó) bao gồm cả đăng ký khối lượng cát, sỏi thu hồi từ dự án nạo vét, khơi thông luồng lạch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đăng ký khu vực, công suất, khối lượng, phương pháp, thiết bị và kế hoạch khai thác khoáng sản vật liệu xây dựng thông thường trong diện tích dự án xây dựng công trình nộp hồ sơ đề nghị khai thác cho 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Bước 2. Kiểm tra hồ sơ:
Sở Nông nghiệp và Môi trường có trách nhiệm kiểm tra văn bản, tài liệu trong hồ sơ. Trường hợp:
+Văn bản, tài liệu trong hồ sơ bảo đảm đúng quy định thì Sở Nông nghiệp và Môi trường ban hành văn bản tiếp nhận hồ sơ.
+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đề nghị bổ sung, hoàn chỉnh hồ sơ. Việc ban hành văn bản hướng dẫn, yêu cầu bổ sung, hoàn chỉnh hồ sơ của cơ quan tiếp nhận hồ sơ chỉ thực hiện một lần.</w:t>
      </w:r>
    </w:p>
    <w:p>
      <w:pPr>
        <w:spacing w:after="0" w:before="0" w:lineRule="auto" w:line="276"/>
        <w:jc w:val="both"/>
      </w:pPr>
      <w:r>
        <w:rPr>
          <w:rFonts w:ascii="Times New Roman" w:hAnsi="Times New Roman" w:cs="Times New Roman" w:eastAsia="Times New Roman"/>
          <w:b w:val="false"/>
          <w:sz w:val="26"/>
        </w:rPr>
        <w:t>Bước 3. Thẩm định hồ sơ:
+Sở Nông nghiệp và Môi trường có trách nhiệm hoàn thành việc kiểm tra tọa độ, diện tích khu vực đề nghị khai thác khoáng sản và kiểm tra thực địa;
+ Hoàn thành việc thẩm định các tài liệu, hồ sơ và các nội dung khác có liên quan đến việc khai thác khoáng sản và xác định tiền cấp quyền khai thác khoáng sản.</w:t>
      </w:r>
    </w:p>
    <w:p>
      <w:pPr>
        <w:spacing w:after="0" w:before="0" w:lineRule="auto" w:line="276"/>
        <w:jc w:val="both"/>
      </w:pPr>
      <w:r>
        <w:rPr>
          <w:rFonts w:ascii="Times New Roman" w:hAnsi="Times New Roman" w:cs="Times New Roman" w:eastAsia="Times New Roman"/>
          <w:b w:val="false"/>
          <w:sz w:val="26"/>
        </w:rPr>
        <w:t>Bước 4. Trình hồ sơ đề nghị cấp phép:
Căn cứ kết quả thẩm định hồ sơ, Sở Nông nghiệp và Môi trường hoàn chỉnh và trình hồ sơ đăng ký cho Ủy ban nhân dân cấp tỉnh xem xét, xác nhận hoặc không xác nhận đăng ký khu vực, công suất, khối lượng, phương pháp, thiết bị và kế hoạch khai thác khoáng sản vật liệu xây dựng thông thường trong diện tích dự án xây dựng công trình/ thu hồi cát, sỏi từ dự án nạo vét, khơi thông luồng lạch. Trong trường hợp không xác nhận đăng ký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5. Trả kết quả giải quyết thủ tục hành chính:
Sở Nông nghiệp và Môi trường thông báo cho tổ chức, cá nhân để nhận kết quả (Bản xác nhận)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57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57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57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thủ tục đăng ký khai thác khoáng sản vật liệu xây dựng thông thường trong diện tích dự án xây dựng công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khu vực, công suất, khối lượng, phương pháp, thiết bị và kế hoạch khai thác khoáng sản;</w:t>
            </w:r>
          </w:p>
        </w:tc>
        <w:tc>
          <w:p/>
          <w:p>
            <w:pPr>
              <w:spacing w:after="0" w:before="0" w:lineRule="auto" w:line="276"/>
              <w:jc w:val="left"/>
            </w:pPr>
            <w:r>
              <w:rPr>
                <w:rFonts w:ascii="Times New Roman" w:hAnsi="Times New Roman" w:cs="Times New Roman" w:eastAsia="Times New Roman"/>
                <w:b w:val="false"/>
                <w:sz w:val="26"/>
              </w:rPr>
              <w:t>PhlcIId-Mauso01_BandangkykhaithackhoangsanVLXDTTtrongDuanTXDCT.doc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của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quy hoạch tổng thể khu vực xây dựng dự án và quyết định phê duyệt dự án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của dự án đã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thủ tục đăng ký khối lượng cát, sỏi thu hồi từ dự án nạo vét, khơi thông luồng lạch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thu hồi cát, sỏi, kèm theo bản vẽ vị trí, phạm vi khu vực dự án nạo vét, khơi thông luồng</w:t>
            </w:r>
          </w:p>
        </w:tc>
        <w:tc>
          <w:p/>
          <w:p>
            <w:pPr>
              <w:spacing w:after="0" w:before="0" w:lineRule="auto" w:line="276"/>
              <w:jc w:val="left"/>
            </w:pPr>
            <w:r>
              <w:rPr>
                <w:rFonts w:ascii="Times New Roman" w:hAnsi="Times New Roman" w:cs="Times New Roman" w:eastAsia="Times New Roman"/>
                <w:b w:val="false"/>
                <w:sz w:val="26"/>
              </w:rPr>
              <w:t>Mauso16_Dondenghithuhoicatsoituduankhoithongluonglach.doc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đăng ký khối lượng, kế hoạch, phương pháp, thiết bị dùng để thu hồi cát, sỏi</w:t>
            </w:r>
          </w:p>
        </w:tc>
        <w:tc>
          <w:p/>
          <w:p>
            <w:pPr>
              <w:spacing w:after="0" w:before="0" w:lineRule="auto" w:line="276"/>
              <w:jc w:val="left"/>
            </w:pPr>
            <w:r>
              <w:rPr>
                <w:rFonts w:ascii="Times New Roman" w:hAnsi="Times New Roman" w:cs="Times New Roman" w:eastAsia="Times New Roman"/>
                <w:b w:val="false"/>
                <w:sz w:val="26"/>
              </w:rPr>
              <w:t>PhlcIId-Mauso02_Bandangkythuhoicatsoituduannaovetkhoithongluonglach.doc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của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thời gian thực hiện dự án nạo vét, khơi thông luồng lạch và quyết định phê duyệt dự án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của dự án đã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thuê bến bãi chứa cát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thu hồi khoáng sản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thủ tục đăng ký khai thác khoáng sản vật liệu xây dựng thông thường trong diện tích dự án xây dựng công trình:
+ Có quyết định phê duyệt dự án đầu tư xây dựng công trình của cơ quan nhà nước có thẩm quyền;
+ Có báo cáo đánh giá tác động môi trường hoặc Kế hoạch bảo vệ môi trường theo quy định của pháp luật về bảo vệ môi trường.
- Đối với Thủ tục đăng ký khối lượng cát, sỏi thu hồi từ dự án nạo vét, khơi thông luồng lạch:
+ Có quyết định phê duyệt dự án nạo vét, khơi thông luòng lạch của cơ quan nhà nước có thẩm quyền;
+ Có báo cáo đánh giá tác động môi trường hoặc Kế hoạch bảo vệ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2026-05-21T16:29:14Z</dcterms:created>
  <dc:creator>Apache POI</dc:creator>
</cp:coreProperties>
</file>