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2.000806.000.00.00.H35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03 ngày làm việc, kể từ ngày Chủ tịch Ủy ban nhân dân cấp xã ký Giấy chứng nhận kết hôn, tổ chức trao Giấy chứng nhận kết hôn cho hai bên nam, nữ.</w:t>
      </w:r>
    </w:p>
    <w:p>
      <w:pPr>
        <w:spacing w:after="0" w:before="0" w:lineRule="auto" w:line="276"/>
        <w:jc w:val="both"/>
      </w:pPr>
      <w:r>
        <w:rPr>
          <w:rFonts w:ascii="Times New Roman" w:hAnsi="Times New Roman" w:cs="Times New Roman" w:eastAsia="Times New Roman"/>
          <w:b w:val="false"/>
          <w:sz w:val="26"/>
        </w:rPr>
        <w:t>Khi đăng ký kết hôn cả hai bên nam, nữ phải có mặt tại trụ sở Ủy ban nhân dân, công chức làm công tác hộ tịch hỏi ý kiến hai bên nam, nữ, nếu các bên tự nguyện kết hôn thì ghi việc kết hôn vào Sổ đăng ký kết hôn, cùng hai bên nam, nữ ký tên vào Sổ; hai bên nam, nữ cùng ký vào Giấy chứng nhận kết hôn.</w:t>
      </w:r>
    </w:p>
    <w:p>
      <w:pPr>
        <w:spacing w:after="0" w:before="0" w:lineRule="auto" w:line="276"/>
        <w:jc w:val="both"/>
      </w:pPr>
      <w:r>
        <w:rPr>
          <w:rFonts w:ascii="Times New Roman" w:hAnsi="Times New Roman" w:cs="Times New Roman" w:eastAsia="Times New Roman"/>
          <w:b w:val="false"/>
          <w:sz w:val="26"/>
        </w:rPr>
        <w:t>Trường hợp một hoặc hai bên nam, nữ không thể có mặt để nhận Giấy chứng nhận kết hôn thì theo đề nghị bằng văn bản của họ, Phòng Tư pháp gia hạn thời gian trao Giấy chứng nhận kết hôn nhưng không quá 60 ngày, kể từ ngày Chủ tịch Ủy ban nhân dân cấp xã ký Giấy chứng nhận kết hôn.
Hết 60 ngày mà hai bên nam, nữ không đến nhận Giấy chứng nhận kết hôn thì Phòng Tư pháp báo cáo Chủ tịch Ủy ban nhân dân cấp xã hủy Giấy chứng nhận kết hôn đã ký.</w:t>
      </w:r>
    </w:p>
    <w:p>
      <w:pPr>
        <w:spacing w:after="0" w:before="0" w:lineRule="auto" w:line="276"/>
        <w:jc w:val="both"/>
      </w:pPr>
      <w:r>
        <w:rPr>
          <w:rFonts w:ascii="Times New Roman" w:hAnsi="Times New Roman" w:cs="Times New Roman" w:eastAsia="Times New Roman"/>
          <w:b w:val="false"/>
          <w:sz w:val="26"/>
        </w:rPr>
        <w:t>Người có yêu cầu đăng ký kết hôn nộp hồ sơ đăng ký kết hôn tại Ủy ban nhân dân cấp xã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kết hôn sau khi đã được hướng dẫn theo quy định mà không được bổ sung,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Phòng Tư pháp tiến hành nghiên cứu, thẩm tra hồ sơ và xác minh (nếu thấy cần thiết).</w:t>
      </w:r>
    </w:p>
    <w:p>
      <w:pPr>
        <w:spacing w:after="0" w:before="0" w:lineRule="auto" w:line="276"/>
        <w:jc w:val="both"/>
      </w:pPr>
      <w:r>
        <w:rPr>
          <w:rFonts w:ascii="Times New Roman" w:hAnsi="Times New Roman" w:cs="Times New Roman" w:eastAsia="Times New Roman"/>
          <w:b w:val="false"/>
          <w:sz w:val="26"/>
        </w:rPr>
        <w:t>Nếu thấy hồ sơ hợp lệ, các bên có đủ điều kiện kết hôn theo quy định của Luật hôn nhân và gia đình, không thuộc trường hợp từ chối đăng ký kết hôn theo quy định, báo cáo Chủ tịch Ủy ban nhân dân cấp xã xem xét, quyết định. Trường hợp Chủ tịch Ủy ban nhân dân đồng ý giải quyết thì ký 02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(Nộp trực tiếp lệ phí)</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(Nộp dịch vụ bưu chính)</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giấy tờ chứng minh tình trạng hôn nhân (đối với người nước ngoài),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thực hiện: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42/2021/NQ-HĐND</w:t>
            </w:r>
          </w:p>
        </w:tc>
        <w:tc>
          <w:p/>
          <w:p>
            <w:pPr>
              <w:spacing w:after="0" w:before="0" w:lineRule="auto" w:line="276"/>
              <w:jc w:val="left"/>
            </w:pPr>
            <w:r>
              <w:rPr>
                <w:rFonts w:ascii="Times New Roman" w:hAnsi="Times New Roman" w:cs="Times New Roman" w:eastAsia="Times New Roman"/>
                <w:b w:val="false"/>
                <w:sz w:val="26"/>
              </w:rPr>
              <w:t>Nghị quyết 42/2021/NQ-HĐND</w:t>
            </w:r>
          </w:p>
        </w:tc>
        <w:tc>
          <w:p/>
          <w:p>
            <w:pPr>
              <w:spacing w:after="0" w:before="0" w:lineRule="auto" w:line="276"/>
              <w:jc w:val="left"/>
            </w:pPr>
            <w:r>
              <w:rPr>
                <w:rFonts w:ascii="Times New Roman" w:hAnsi="Times New Roman" w:cs="Times New Roman" w:eastAsia="Times New Roman"/>
                <w:b w:val="false"/>
                <w:sz w:val="26"/>
              </w:rPr>
              <w:t>10-08-2021</w:t>
            </w:r>
          </w:p>
        </w:tc>
        <w:tc>
          <w:p/>
          <w:p>
            <w:pPr>
              <w:spacing w:after="0" w:before="0" w:lineRule="auto" w:line="276"/>
              <w:jc w:val="left"/>
            </w:pPr>
            <w:r>
              <w:rPr>
                <w:rFonts w:ascii="Times New Roman" w:hAnsi="Times New Roman" w:cs="Times New Roman" w:eastAsia="Times New Roman"/>
                <w:b w:val="false"/>
                <w:sz w:val="26"/>
              </w:rPr>
              <w:t>UBND tỉnh Lai Châu</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31/2022/NQ-HĐND</w:t>
            </w:r>
          </w:p>
        </w:tc>
        <w:tc>
          <w:p/>
          <w:p>
            <w:pPr>
              <w:spacing w:after="0" w:before="0" w:lineRule="auto" w:line="276"/>
              <w:jc w:val="left"/>
            </w:pPr>
            <w:r>
              <w:rPr>
                <w:rFonts w:ascii="Times New Roman" w:hAnsi="Times New Roman" w:cs="Times New Roman" w:eastAsia="Times New Roman"/>
                <w:b w:val="false"/>
                <w:sz w:val="26"/>
              </w:rPr>
              <w:t>Nghị quyết số 31/2022/NQ-HĐND</w:t>
            </w:r>
          </w:p>
        </w:tc>
        <w:tc>
          <w:p/>
          <w:p>
            <w:pPr>
              <w:spacing w:after="0" w:before="0" w:lineRule="auto" w:line="276"/>
              <w:jc w:val="left"/>
            </w:pPr>
            <w:r>
              <w:rPr>
                <w:rFonts w:ascii="Times New Roman" w:hAnsi="Times New Roman" w:cs="Times New Roman" w:eastAsia="Times New Roman"/>
                <w:b w:val="false"/>
                <w:sz w:val="26"/>
              </w:rPr>
              <w:t>20-07-2022</w:t>
            </w:r>
          </w:p>
        </w:tc>
        <w:tc>
          <w:p/>
          <w:p>
            <w:pPr>
              <w:spacing w:after="0" w:before="0" w:lineRule="auto" w:line="276"/>
              <w:jc w:val="left"/>
            </w:pPr>
            <w:r>
              <w:rPr>
                <w:rFonts w:ascii="Times New Roman" w:hAnsi="Times New Roman" w:cs="Times New Roman" w:eastAsia="Times New Roman"/>
                <w:b w:val="false"/>
                <w:sz w:val="26"/>
              </w:rPr>
              <w:t>Hội đồng nhân dân cấp tỉnh, Bộ, Cơ quan ngang Bộ</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22/2023/NQ-HĐND</w:t>
            </w:r>
          </w:p>
        </w:tc>
        <w:tc>
          <w:p/>
          <w:p>
            <w:pPr>
              <w:spacing w:after="0" w:before="0" w:lineRule="auto" w:line="276"/>
              <w:jc w:val="left"/>
            </w:pPr>
            <w:r>
              <w:rPr>
                <w:rFonts w:ascii="Times New Roman" w:hAnsi="Times New Roman" w:cs="Times New Roman" w:eastAsia="Times New Roman"/>
                <w:b w:val="false"/>
                <w:sz w:val="26"/>
              </w:rPr>
              <w:t>NGHỊ QUYẾT  QUY ĐỊNH MỨC THU LỆ PHÍ TRONG THỰC HIỆN THỦ TỤC HÀNH CHÍNH THÔNG QUA DỊCH VỤ CÔNG TRỰC TUYẾN TRÊN ĐỊA BÀN TỈNH LAI CHÂU</w:t>
            </w:r>
          </w:p>
        </w:tc>
        <w:tc>
          <w:p/>
          <w:p>
            <w:pPr>
              <w:spacing w:after="0" w:before="0" w:lineRule="auto" w:line="276"/>
              <w:jc w:val="left"/>
            </w:pPr>
            <w:r>
              <w:rPr>
                <w:rFonts w:ascii="Times New Roman" w:hAnsi="Times New Roman" w:cs="Times New Roman" w:eastAsia="Times New Roman"/>
                <w:b w:val="false"/>
                <w:sz w:val="26"/>
              </w:rPr>
              <w:t>13-07-2023</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2026-05-22T14:52:54Z</dcterms:created>
  <dc:creator>Apache POI</dc:creator>
</cp:coreProperties>
</file>