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2.001215.000.00.00.H18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phương tiện hoạt động vui chơi, giải trí dưới nước lần đầu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Tổ chức, cá nhân nộp trực tiếp hoặc gửi qua hệ thống bưu chính hoặc bằng hình thức phù hợp khác 01 bộ hồ sơ đến Trung tâm Phục vụ hành chính công cấp xã.</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 UBND cấp xã tiếp nhận, kiểm tra hồ sơ, trường hợp hồ sơ không hợp lệ, trong thời hạn 01 ngày làm việc kể từ ngày nhận được hồ sơ, hướng dẫn người nộp hoàn thiện hồ sơ theo quy định;
- Trong thời hạn 03 ngày làm việc, kể từ ngày nhận được hồ sơ hợp lệ, UBND cấp xã cấp Giấy chứng nhận đăng ký phương tiện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Giấy chứng nhận đăng ký phương tiện cho chủ phương tiện: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Giấy chứng nhận đăng ký phương tiện cho chủ phương tiện: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Giấy chứng nhận đăng ký phương tiện cho chủ phương tiện: 03 (ba)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 khi nộp hồ sơ gồm bản chính các loại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hoặc tờ khai phương tiện nhập khẩu theo quy định của pháp luật đối với phương tiện được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quyền sở hữu phương tiện: Hợp đồng mua bán hoặc hợp đồng đóng mới phương tiện hoặc các giấy tờ khác có giá trị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được phép hoạt động và có trụ sở tại Việt Nam đối với tổ chức nước ngoài hoặc giấy tờ chứng minh được phép cư trú tại Việt Nam đối với cá nhân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chủ phương tiện đồng thời là chủ cơ sở đóng mới, hoán cải, sửa chữa và phục hồi phương tiện được phép hoạt động theo quy định của pháp luật, khi thực hiện đăng ký phương tiện không phải xuất trình Giấy tờ chứng minh quyền sở hữu phương tiện: Hợp đồng mua bán hoặc hợp đồng đóng mới phương tiện hoặc các giấy tờ khác có giá trị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nộp,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Biên lai nộp lệ phí trước bạ (bản chính hoặc bản điện tử hoặc bản sao điện tử)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đăng ký phương tiện theo Mẫu;</w:t>
            </w:r>
          </w:p>
        </w:tc>
        <w:tc>
          <w:p/>
          <w:p>
            <w:pPr>
              <w:spacing w:after="0" w:before="0" w:lineRule="auto" w:line="276"/>
              <w:jc w:val="left"/>
            </w:pPr>
            <w:r>
              <w:rPr>
                <w:rFonts w:ascii="Times New Roman" w:hAnsi="Times New Roman" w:cs="Times New Roman" w:eastAsia="Times New Roman"/>
                <w:b w:val="false"/>
                <w:sz w:val="26"/>
              </w:rPr>
              <w:t>Mẫu đơn đề nghị ĐĂNG KÝ PHƯƠNG TIỆN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48/2019/NĐ-CP</w:t>
            </w:r>
          </w:p>
        </w:tc>
        <w:tc>
          <w:p/>
          <w:p>
            <w:pPr>
              <w:spacing w:after="0" w:before="0" w:lineRule="auto" w:line="276"/>
              <w:jc w:val="left"/>
            </w:pPr>
            <w:r>
              <w:rPr>
                <w:rFonts w:ascii="Times New Roman" w:hAnsi="Times New Roman" w:cs="Times New Roman" w:eastAsia="Times New Roman"/>
                <w:b w:val="false"/>
                <w:sz w:val="26"/>
              </w:rPr>
              <w:t>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05-06-2019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19/2024/NĐ-CP</w:t>
            </w:r>
          </w:p>
        </w:tc>
        <w:tc>
          <w:p/>
          <w:p>
            <w:pPr>
              <w:spacing w:after="0" w:before="0" w:lineRule="auto" w:line="276"/>
              <w:jc w:val="left"/>
            </w:pPr>
            <w:r>
              <w:rPr>
                <w:rFonts w:ascii="Times New Roman" w:hAnsi="Times New Roman" w:cs="Times New Roman" w:eastAsia="Times New Roman"/>
                <w:b w:val="false"/>
                <w:sz w:val="26"/>
              </w:rPr>
              <w:t>Nghị định số 19/2024/NĐ-CP ngày 23/02/2024 sửa đổi, bổ sung một số điều của Nghị định số 48/2019/NĐ-CP ngày 05/6/2019 của Chính phủ 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23-02-2024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2026-05-11T11:31:09Z</dcterms:created>
  <dc:creator>Apache POI</dc:creator>
</cp:coreProperties>
</file>