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1.000778.000.00.00.H18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thăm dò khoáng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giấy phép thăm dò khoáng sản nộp hồ sơ đề nghị thăm dò cho Bộ phận Tiếp nhận và Trả kết quả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false"/>
          <w:sz w:val="26"/>
        </w:rPr>
        <w:t>- Bước 2. Kiểm tra hồ sơ (bao gồm 02 trường hợp)
+ Trường hợp hồ sơ đề nghị cấp Giấy phép thăm dò khoáng sản ở khu vực không đấu giá quyền khai thác khoáng sản:
Khi nhận được hồ sơ của tổ chức, cá nhân đầu tiên có nhu cầu thăm dò khoáng sản, Sở Tài nguyên và Môi trường thông báo công khai tên tổ chức, cá nhân đó, tên loại khoáng sản và vị trí khu vực đề nghị thăm dò khoáng sản tại trụ sở cơ quan và trên trang thông tin điện tử của Ủy ban nhân dân cấp tỉnh và hệ thống mạng đấu thầu quốc gia, Báo đấu thầu.
Khi lựa chọn được hồ sơ của tổ chức, cá nhân để cấp phép thăm dò, Sở Tài nguyên và Môi trường ban hành văn bản tiếp nhận hồ sơ và thông báo công khai tên tổ chức, cá nhân được lựa chọn tại trụ sở cơ quan và trên trang thông tin điện tử của Ủy ban nhân dân cấp tỉnh.
Đối với các tổ chức, cá nhân không được lựa chọn, Sở Tài nguyên và Môi trường có trách nhiệm thông báo bằng văn bản cho tổ chức, cá nhân đề nghị thăm dò khoáng sản về lý do không được lựa chọn.
+ Trường hợp hồ sơ đề nghị thăm dò khoáng sản của tổ chức, cá nhân trúng đấu giá quyền khai thác khoáng sản tại khu vực chưa thăm dò khoáng sản:
Sở Tài nguyên và Môi trường kiểm tra văn bản, tài liệu có trong hồ sơ. Trường hợp văn bản, tài liệu đáp ứng đúng theo quy định thì ban hành phiếu tiếp nhận hồ sơ.
Trường hợp hồ sơ đề nghị thăm dò chưa đầy đủ văn bản, tài liệu theo quy định hoặc đủ nhưng nội dung văn bản, tài liệu trong hồ sơ chưa bảo đảm đúng theo quy định của pháp luật thì cơ quan tiếp nhận hướng dẫn bằng văn bản cho tổ chức, cá nhân đề nghị thăm dò khoáng sản bổ sung, hoàn chỉnh hồ sơ. Việc hướng dẫn, yêu cầu bổ sung, hoàn chỉnh hồ sơ của cơ quan tiếp nhận chỉ thực hiện một lần.</w:t>
      </w:r>
    </w:p>
    <w:p>
      <w:pPr>
        <w:spacing w:after="0" w:before="0" w:lineRule="auto" w:line="276"/>
        <w:jc w:val="both"/>
      </w:pPr>
      <w:r>
        <w:rPr>
          <w:rFonts w:ascii="Times New Roman" w:hAnsi="Times New Roman" w:cs="Times New Roman" w:eastAsia="Times New Roman"/>
          <w:b w:val="false"/>
          <w:sz w:val="26"/>
        </w:rPr>
        <w:t>- Bước 3. Thẩm định hồ sơ
+ Sở Nông nghiệp và Môi trường có trách nhiệm: kiểm tra tọa độ, diện tích khu vực đề nghị thăm dò khoáng sản kể cả kiểm tra thực địa;
+ Gửi văn bản đến các cơ quan có liên quan về khu vực đề nghị thăm dò khoáng sản trong trường hợp quy định tại khoản 3 Điều 48 Luật khoáng sản;
+ Báo cáo kết quả thẩm định hồ sơ pháp lý, đề án thăm dò cho Hội đồng thẩm định đề án thăm dò khoáng sản của Ủy ban nhân dân tỉnh để xem xét, họp thẩm định.
Trường hợp phải bổ sung, chỉnh sửa để hoàn thiện đề án hoặc phải lập lại đề án thăm dò khoáng sản, cơ quan tiếp nhận hồ sơ gửi văn bản thông báo nêu rõ lý do chưa thông qua đề án hoặc những nội dung cần bổ sung, hoàn thiện đề án kèm theo biên bản họp Hội đồng thẩm định.</w:t>
      </w:r>
    </w:p>
    <w:p>
      <w:pPr>
        <w:spacing w:after="0" w:before="0" w:lineRule="auto" w:line="276"/>
        <w:jc w:val="both"/>
      </w:pPr>
      <w:r>
        <w:rPr>
          <w:rFonts w:ascii="Times New Roman" w:hAnsi="Times New Roman" w:cs="Times New Roman" w:eastAsia="Times New Roman"/>
          <w:b w:val="false"/>
          <w:sz w:val="26"/>
        </w:rPr>
        <w:t>- Bước 4. Trình hồ sơ đề nghị cấp Giấy phép thăm dò khoáng sản
Căn cứ kết quả thẩm định hồ sơ, Sở Nông nghiệp và Môi trường hoàn chỉnh và trình hồ sơ đề nghị Ủy ban nhân dân tỉnh quyết định cấp hoặc không cấp Giấy phép thăm dò khoáng sản.</w:t>
      </w:r>
    </w:p>
    <w:p>
      <w:pPr>
        <w:spacing w:after="0" w:before="0" w:lineRule="auto" w:line="276"/>
        <w:jc w:val="both"/>
      </w:pPr>
      <w:r>
        <w:rPr>
          <w:rFonts w:ascii="Times New Roman" w:hAnsi="Times New Roman" w:cs="Times New Roman" w:eastAsia="Times New Roman"/>
          <w:b w:val="false"/>
          <w:sz w:val="26"/>
        </w:rPr>
        <w:t>- Bước 5: Trả kết quả giải quyết thủ tục hành chính
Sở Nông nghiệp và Môi trường thông báo cho tổ chức, cá nhân để nhận kết quả (giấy phép) và thực hiện các nghĩa vụ có liên quan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Diện tích thăm dò nhỏ hơn 100 hec-ta (ha), mức thu là 4.000.000 đồng/01 giấy phép; - Diện tích thăm dò từ 100 ha đến 50.000 ha, mức thu là 10.000.000 đồng/01 giấy phép; - Diện tích thăm dò trên 50.000 ha, mức thu là 15.000.000 đồng/01 giấy phép.)</w:t>
              <w:br/>
              <w:t>File đính kèm: TT 191 ve phi trong cap phep hoat dong khoang san co hieu luc tu 01.01.2017.pdf</w:t>
            </w:r>
          </w:p>
        </w:tc>
        <w:tc>
          <w:p/>
          <w:p>
            <w:pPr>
              <w:spacing w:after="0" w:before="0" w:lineRule="auto" w:line="276"/>
              <w:jc w:val="left"/>
            </w:pPr>
            <w:r>
              <w:rPr>
                <w:rFonts w:ascii="Times New Roman" w:hAnsi="Times New Roman" w:cs="Times New Roman" w:eastAsia="Times New Roman"/>
                <w:b w:val="false"/>
                <w:sz w:val="26"/>
              </w:rPr>
              <w:t>Không quá 87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Diện tích thăm dò nhỏ hơn 100 hec-ta (ha), mức thu là 4.000.000 đồng/01 giấy phép; - Diện tích thăm dò từ 100 ha đến 50.000 ha, mức thu là 10.000.000 đồng/01 giấy phép; - Diện tích thăm dò trên 50.000 ha, mức thu là 15.000.000 đồng/01 giấy phép.)</w:t>
              <w:br/>
              <w:t>File đính kèm: TT 191 ve phi trong cap phep hoat dong khoang san co hieu luc tu 01.01.2017.pdf</w:t>
            </w:r>
          </w:p>
        </w:tc>
        <w:tc>
          <w:p/>
          <w:p>
            <w:pPr>
              <w:spacing w:after="0" w:before="0" w:lineRule="auto" w:line="276"/>
              <w:jc w:val="left"/>
            </w:pPr>
            <w:r>
              <w:rPr>
                <w:rFonts w:ascii="Times New Roman" w:hAnsi="Times New Roman" w:cs="Times New Roman" w:eastAsia="Times New Roman"/>
                <w:b w:val="false"/>
                <w:sz w:val="26"/>
              </w:rPr>
              <w:t>Không quá 87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Diện tích thăm dò nhỏ hơn 100 hec-ta (ha), mức thu là 4.000.000 đồng/01 giấy phép; - Diện tích thăm dò từ 100 ha đến 50.000 ha, mức thu là 10.000.000 đồng/01 giấy phép; - Diện tích thăm dò trên 50.000 ha, mức thu là 15.000.000 đồng/01 giấy phép.)</w:t>
              <w:br/>
              <w:t>File đính kèm: TT 191 ve phi trong cap phep hoat dong khoang san co hieu luc tu 01.01.2017.pdf</w:t>
            </w:r>
          </w:p>
        </w:tc>
        <w:tc>
          <w:p/>
          <w:p>
            <w:pPr>
              <w:spacing w:after="0" w:before="0" w:lineRule="auto" w:line="276"/>
              <w:jc w:val="left"/>
            </w:pPr>
            <w:r>
              <w:rPr>
                <w:rFonts w:ascii="Times New Roman" w:hAnsi="Times New Roman" w:cs="Times New Roman" w:eastAsia="Times New Roman"/>
                <w:b w:val="false"/>
                <w:sz w:val="26"/>
              </w:rPr>
              <w:t>Không quá 87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thăm dò khoáng sản</w:t>
            </w:r>
          </w:p>
        </w:tc>
        <w:tc>
          <w:p/>
          <w:p>
            <w:pPr>
              <w:spacing w:after="0" w:before="0" w:lineRule="auto" w:line="276"/>
              <w:jc w:val="left"/>
            </w:pPr>
            <w:r>
              <w:rPr>
                <w:rFonts w:ascii="Times New Roman" w:hAnsi="Times New Roman" w:cs="Times New Roman" w:eastAsia="Times New Roman"/>
                <w:b w:val="false"/>
                <w:sz w:val="26"/>
              </w:rPr>
              <w:t>Mauso01_Deanthamdokhoangsan.doc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thăm dò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thăm dò khoáng sản</w:t>
            </w:r>
          </w:p>
        </w:tc>
        <w:tc>
          <w:p/>
          <w:p>
            <w:pPr>
              <w:spacing w:after="0" w:before="0" w:lineRule="auto" w:line="276"/>
              <w:jc w:val="left"/>
            </w:pPr>
            <w:r>
              <w:rPr>
                <w:rFonts w:ascii="Times New Roman" w:hAnsi="Times New Roman" w:cs="Times New Roman" w:eastAsia="Times New Roman"/>
                <w:b w:val="false"/>
                <w:sz w:val="26"/>
              </w:rPr>
              <w:t>Mauso01_Deanthamdokhoangsan.doc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Bản sao có chứng thực hoặc bản sao kèm bản chính để đối chiếu hoặc bản sao điện tử có chứng thực từ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kinh doanh hoặc Giấy chứng nhận đăng ký doanh nghiệp; Quyết định thành lập văn phòng đại diện, chi nhánh tại Việt Nam trong trường hợp là doanh nghiệp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văn bản chứng minh về vốn chủ sở hữu theo quy định như sau: * Đối với doanh nghiệp mới thành lập gồm một trong các văn bản sau: - Biên bản góp vốn của các cổ đông sáng lập đối với công ty cổ phần hoặc của các thành viên sáng lập đối với công ty trách nhiệm hữu hạn từ hai thành viên trở lên; điều lệ công ty đối với công ty cổ phần, sổ đăng ký thành viên đối với công ty trách nhiệm hữu hạn hai thành viên trở lên; - Quyết định giao vốn của chủ sở hữu đối với công ty trách nhiệm hữu hạn một thành viên mà chủ sở hữu là một tổ chức. * Đối với doanh nghiệp đang hoạt động quy định như sau: - Đối với doanh nghiệp thành lập trong thời hạn 01 năm tính đến ngày nộp hồ sơ đề nghị cấp Giấy phép thăm dò khoáng sản, Giấy phép khai thác khoáng sản: Nộp bản sao Giấy chứng nhận đăng ký doanh nghiệp; - Đối với doanh nghiệp thành lập trên 01 năm tính đến ngày nộp hồ sơ đề nghị cấp Giấy phép thăm dò khoáng sản, Giấy phép khai thác khoáng sản: nộp bản sao Báo cáo tài chính của năm gần nhất. * Đối với Hợp tác xã, liên hiệp hợp tác xã gồm một trong các văn bản sau: - Vốn điều lệ của hợp tác xã, liên hiệp hợp tác xã là tổng số vốn do thành viên hợp tác xã, hợp tác xã thành viên của liên hiệp hợp tác xã góp hoặc cam kết góp trong một thời hạn nhất định và được ghi vào điều lệ hợp tác xã, liên hiệp hợp tác xã theo quy định của Luật hợp tác xã; - Vốn hoạt động của hợp tác xã, liên hiệp hợp tác xã gồm vốn góp của thành viên, hợp tác xã thành viên, vốn huy động, vốn tích lũy, các quỹ của hợp tác xã, liên hiệp hợp tác xã; các khoản trợ cấp, hỗ trợ của Nhà nước, của các tổ chức, cá nhân trong nước và nước ngoài; các khoản được tặng, cho và các nguồn thu hợp pháp khác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thăm dò khoáng sản thuộc thẩm quyền cấp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22/2012/NĐ-CP</w:t>
            </w:r>
          </w:p>
        </w:tc>
        <w:tc>
          <w:p/>
          <w:p>
            <w:pPr>
              <w:spacing w:after="0" w:before="0" w:lineRule="auto" w:line="276"/>
              <w:jc w:val="left"/>
            </w:pPr>
            <w:r>
              <w:rPr>
                <w:rFonts w:ascii="Times New Roman" w:hAnsi="Times New Roman" w:cs="Times New Roman" w:eastAsia="Times New Roman"/>
                <w:b w:val="false"/>
                <w:sz w:val="26"/>
              </w:rPr>
              <w:t>Nghị định 22/2012/NĐ-CP</w:t>
            </w:r>
          </w:p>
        </w:tc>
        <w:tc>
          <w:p/>
          <w:p>
            <w:pPr>
              <w:spacing w:after="0" w:before="0" w:lineRule="auto" w:line="276"/>
              <w:jc w:val="left"/>
            </w:pPr>
            <w:r>
              <w:rPr>
                <w:rFonts w:ascii="Times New Roman" w:hAnsi="Times New Roman" w:cs="Times New Roman" w:eastAsia="Times New Roman"/>
                <w:b w:val="false"/>
                <w:sz w:val="26"/>
              </w:rPr>
              <w:t>26-03-2012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53/2013/TT-BTNMT</w:t>
            </w:r>
          </w:p>
        </w:tc>
        <w:tc>
          <w:p/>
          <w:p>
            <w:pPr>
              <w:spacing w:after="0" w:before="0" w:lineRule="auto" w:line="276"/>
              <w:jc w:val="left"/>
            </w:pPr>
            <w:r>
              <w:rPr>
                <w:rFonts w:ascii="Times New Roman" w:hAnsi="Times New Roman" w:cs="Times New Roman" w:eastAsia="Times New Roman"/>
                <w:b w:val="false"/>
                <w:sz w:val="26"/>
              </w:rPr>
              <w:t>Thông tư 53/2013/TT-BTNMT</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54/2014/TTLT-BTNMT-BTC</w:t>
            </w:r>
          </w:p>
        </w:tc>
        <w:tc>
          <w:p/>
          <w:p>
            <w:pPr>
              <w:spacing w:after="0" w:before="0" w:lineRule="auto" w:line="276"/>
              <w:jc w:val="left"/>
            </w:pPr>
            <w:r>
              <w:rPr>
                <w:rFonts w:ascii="Times New Roman" w:hAnsi="Times New Roman" w:cs="Times New Roman" w:eastAsia="Times New Roman"/>
                <w:b w:val="false"/>
                <w:sz w:val="26"/>
              </w:rPr>
              <w:t>Thông tư liên tịch 54/2014/TTLT-BTNMT-BTC</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27/2015/TT-BTNMT</w:t>
            </w:r>
          </w:p>
        </w:tc>
        <w:tc>
          <w:p/>
          <w:p>
            <w:pPr>
              <w:spacing w:after="0" w:before="0" w:lineRule="auto" w:line="276"/>
              <w:jc w:val="left"/>
            </w:pPr>
            <w:r>
              <w:rPr>
                <w:rFonts w:ascii="Times New Roman" w:hAnsi="Times New Roman" w:cs="Times New Roman" w:eastAsia="Times New Roman"/>
                <w:b w:val="false"/>
                <w:sz w:val="26"/>
              </w:rPr>
              <w:t>Thông tư 27/2015/TT-BTNMT</w:t>
            </w:r>
          </w:p>
        </w:tc>
        <w:tc>
          <w:p/>
          <w:p>
            <w:pPr>
              <w:spacing w:after="0" w:before="0" w:lineRule="auto" w:line="276"/>
              <w:jc w:val="left"/>
            </w:pPr>
            <w:r>
              <w:rPr>
                <w:rFonts w:ascii="Times New Roman" w:hAnsi="Times New Roman" w:cs="Times New Roman" w:eastAsia="Times New Roman"/>
                <w:b w:val="false"/>
                <w:sz w:val="26"/>
              </w:rPr>
              <w:t>29-05-2015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191/2016/TT-BTC</w:t>
            </w:r>
          </w:p>
        </w:tc>
        <w:tc>
          <w:p/>
          <w:p>
            <w:pPr>
              <w:spacing w:after="0" w:before="0" w:lineRule="auto" w:line="276"/>
              <w:jc w:val="left"/>
            </w:pPr>
            <w:r>
              <w:rPr>
                <w:rFonts w:ascii="Times New Roman" w:hAnsi="Times New Roman" w:cs="Times New Roman" w:eastAsia="Times New Roman"/>
                <w:b w:val="false"/>
                <w:sz w:val="26"/>
              </w:rPr>
              <w:t>Thông tư 191/2016/TT-BTC</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45/2016/TT-BTNMT</w:t>
            </w:r>
          </w:p>
        </w:tc>
        <w:tc>
          <w:p/>
          <w:p>
            <w:pPr>
              <w:spacing w:after="0" w:before="0" w:lineRule="auto" w:line="276"/>
              <w:jc w:val="left"/>
            </w:pPr>
            <w:r>
              <w:rPr>
                <w:rFonts w:ascii="Times New Roman" w:hAnsi="Times New Roman" w:cs="Times New Roman" w:eastAsia="Times New Roman"/>
                <w:b w:val="false"/>
                <w:sz w:val="26"/>
              </w:rPr>
              <w:t>Thông tư 45/2016/TT-BTNMT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số 22/2023/NĐ-CP ngày 12 tháng 5 năm 2023 của Chính phủ sửa đổi, bổ sung một số điều của các nghị định liên quan đến hoạt động kinh doanh trong lĩnh vực tài nguyên và môi trường</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đề nghị cấp phép thăm dò phải đáp ứng đủ điều kiện theo quy định tại khoản 1 Điều 34 Luật khoáng sản bao gồm:
+ Doanh nghiệp được thành lập theo Luật doanh nghiệp;
+ Hợp tác xã, liên hiệp hợp tác xã được thành lập theo Luật hợp tác xã;
+ Doanh nghiệp nước ngoài có văn phòng đại diện hoặc chi nhánh tại Việt Nam.
* Được lựa chọn theo quy định tại Điều 36 của Luật khoáng sản; Điều 25 Nghị định số 158/2016/NĐ-CP ngày 29/11/2016.
* Là tổ chức, cá nhân trúng đấu giá quyền khai thác khoáng sản ở khu vực chưa thăm dò theo quy định của Luật khoáng sản; nếu tổ chức, cá nhân không có đủ điều kiện hành nghề thăm dò khoáng sản thì phải có hợp đồng với tổ chức đủ điều kiện hành nghề thăm dò khoáng sản để tiếp tục thực hiện đề án thăm dò theo quy định tại khoản 1 Điều 35 Luật khoáng sản và tại Chương III Nghị định số 60/2016/NĐ-CP ngày 01 tháng 7 năm 2016 của Chính phủ quy định một số điều kiện đầu tư kinh doanh trong lĩnh vực tài nguyên và môi trường bao gồm:
(1) Tổ chức hành nghề thăm dò khoáng sản:
- Doanh nghiệp thành lập theo quy định của Luật doanh nghiệp.
- Tổ chức khoa học và công nghệ thành lập theo quy định của Luật khoa học và công nghệ.
- Hợp tác xã, liên hiệp hợp tác xã thành lập theo quy định của Luật hợp tác xã.
- Tổ chức sự nghiệp chuyên ngành địa chất được cơ quan nhà nước có thẩm quyền thành lập có chức năng, nhiệm vụ thăm dò khoáng sản.
(2) Hồ sơ hành nghề thăm dò khoáng sản:
- Tổ chức hành nghề thăm dò khoáng sản quy định tại Điều 12 Nghị định số 60/2016/NĐ-CP khi thi công đề án thăm dò khoáng sản phải có hồ sơ hành nghề thăm dò khoáng sản, gồm:
+ Bản sao có chứng thực quyết định thành lập hoặc giấy chứng nhận hoạt động khoa học và công nghệ hoặc giấy chứng nhận đăng ký doanh nghiệp do cơ quan có thẩm quyền cấp;
+ Hợp đồng thi công đề án thăm dò khoáng sản với tổ chức, cá nhân được phép thăm dò khoáng sản, kèm theo giấy phép thăm dò khoáng sản được cơ quan có thẩm quyền cấp;
+ Danh sách cán bộ, công nhân tham gia thi công đề án thăm dò khoáng sản; các hợp đồng lao động (hoặc văn bản tương đương) của người phụ trách kỹ thuật và công nhân kỹ thuật tham gia trực tiếp thi công đề án theo quy định;
+ Tài liệu của các cá nhân tham gia thi công đề án thăm dò khoáng sản (bản sao có chứng thực hoặc bản sao kèm bản chính để đối chiếu) gồm: Quyết định giao nhiệm vụ cho người phụ trách kỹ thuật (sau đây được gọi là chủ nhiệm đề án thăm dò khoáng sản) kèm theo văn bằng chứng chỉ ngành nghề, lý lịch khoa học của chủ nhiệm đề án; hợp đồng lao động hoặc quyết định tuyển dụng; quyết định bổ nhiệm chức danh hoặc giao nhiệm vụ; văn bằng chứng chỉ ngành nghề phù hợp với nhiệm vụ giao; bản sao chứng minh nhân dân, căn cước công dân hoặc hộ chiếu;
+ Danh mục các thiết bị, công cụ chuyên dùng để thi công công trình thăm dò khoáng sản phù hợp với đề án thăm dò khoáng sản.
- Trường hợp đề án thăm dò khoáng sản do tổ chức có giấy phép thăm dò khoáng sản trực tiếp thi công thì phải có hồ sơ đáp ứng yêu cầu quy định tại dấu cộng thứ 3, 4, 5 mục (2) Hồ sơ hành nghề thăm dò khoáng sản..
- Hồ sơ hành nghề thăm dò khoáng sản được quản lý, lưu giữ tại tổ chức, cá nhân có giấy phép thăm dò khoáng sản và tổ chức hành nghề thăm dò khoáng sản.
(3) Điều kiện đối với chủ nhiệm đề án thăm dò khoáng sản:
- Có người phụ trách kỹ thuật tốt nghiệp đại học chuyên ngành địa chất thăm dò đã công tác thực tế thăm dò trong khoáng sản ít nhất 05 năm; có hiểu biết, nắm vững tiêu chuẩn, quy chuẩn kỹ thuật
- Là công dân Việt Nam hoặc người nước ngoài có giấy phép lao động tại Việt Nam theo quy định của pháp luật về lao động;
- Có văn bằng đào tạo trình độ đại học trở lên thuộc chuyên ngành địa chất thăm dò khoáng sản hoặc tương đương; đối với đề án thăm dò nước khoáng, nước nóng là chuyên ngành địa chất thủy văn - địa chất công trình;
- Có kinh nghiệm tham gia thi công đề án điều tra địa chất, thăm dò khoáng sản tối thiểu 05 năm; có chứng chỉ chủ nhiệm đề án thăm dò khoáng sản do Bộ Nông nghiệp và Môi trường cấp;
- Chủ nhiệm đề án thăm dò khoáng sản thực hiện nhiệm vụ thi công đề án thăm dò phải đáp ứng các điều kiện về thời gian kinh nghiệm theo quy định tại điểm b khoản 1 Điều 35 Luật khoáng sản và đối với đề án thăm dò khoáng sản độc hại, phải có thời gian tham gia thi công với tư cách là cán bộ kỹ thuật địa chất ít nhất 01 đề án thăm dò khoáng sản độc hại; đối với các đề án thăm dò khoáng sản khác, phải có thời gian tham gia thi công với tư cách là cán bộ kỹ thuật địa chất ít nhất 01 đề án thăm dò.
- Chủ nhiệm đề án thăm dò khoáng sản chỉ thực hiện chức trách khi có quyết định giao nhiệm vụ của tổ chức được phép thăm dò khoáng sản hoặc tổ chức hành nghề thăm dò khoáng sản.
- Trong cùng một thời gian, chủ nhiệm đề án thăm dò khoáng sản chỉ đảm nhận chức trách tối đa 02 đề án thăm dò khoáng sản. Khi lập báo cáo kết quả thăm dò khoáng sản, chủ nhiệm đề án thăm dò khoáng sản phải có thời gian chỉ đạo thi công ít nhất bằng 25% thời gian thi công đề án thăm dò được quy định trong giấy phép thăm dò khoáng sản.
(4) Điều kiện đối với đội ngũ công nhân kỹ thuật thực hiện đề án thăm dò khoáng sản
- Đội ngũ công nhân kỹ thuật theo các chuyên ngành trắc địa, địa chất, địa chất thủy văn, địa chất công trình, địa vật lý, thi công công trình (khai đào, khoan) và các chuyên ngành khác có liên quan phải đáp ứng yêu cầu phù hợp về số lượng theo đề án thăm dò khoáng sản đã được thẩm định khi cấp giấy phép thăm dò khoáng sản.
- Các nhóm công nhân kỹ thuật theo các chuyên ngành khi thi công phải cử người phụ trách đáp ứng yêu cầu chuyên môn và thời gian kinh nghiệm như sau:
+ Đối với đề án thăm dò khoáng sản độc hại, phải có thời gian công tác tối thiểu 05 năm đối với người có trình độ trung cấp nghề hoặc 03 năm đối với người có trình độ đại học; trong đó, có ít nhất 01 năm tham gia thi công đề án điều tra địa chất hoặc thăm dò đối với khoáng sản độc hại;
+ Đối với các đề án thăm dò khoáng sản còn lại, phải có thời gian làm việc tối thiểu 03 năm đối với người có trình độ trung cấp nghề hoặc 02 năm đối với người có trình độ đại học.
(5) Điều kiện về thiết bị, công cụ chuyên dùng thi công công trình thăm dò khoáng sản:
- Thiết bị, công cụ chuyên dùng để thi công công trình thăm dò khoáng sản phải đảm bảo số lượng, chất lượng, tính năng kỹ thuật đáp ứng với hạng mục, công việc trong đề án thăm dò đã được thẩm định khi cấp giấy phép thăm dò khoáng sản.
- Thăm dò khoáng sản phóng xạ, đất hiếm phải có thiết bị, công cụ chuyên dụng và đội ngũ cán bộ kỹ thuật vận hành đáp ứng các yêu cầu về an toàn phóng xạ theo quy định của pháp luật về an toàn bức xạ hạt nhân.
* Khu vực đề nghị thăm dò có diện tích:
+ Không quá 50 kilômét vuông (km2) đối với đá quý, đá bán quý, khoáng sản kim loại, trừ bauxit;
+ Không quá 100 kilômét vuông (km2) đối với than, bauxit, khoáng sản không kim loại ở đất liền có hoặc không có mặt nước, trừ khoáng sản làm vật liệu xây dựng thông thường;
+ Không quá 200 kilômét vuông (km2) đối với khoáng sản các loại ở thềm lục địa, trừ khoáng sản làm vật liệu xây dựng thông thường;
+ Không quá 02 kilômét vuông (km2) ở đất liền, không quá 01 kilômét vuông (km2) ở vùng có mặt nước đối với khoáng sản làm vật liệu xây dựng thông thường;
+ Không quá 02 kilômét vuông (km2) đối với nước khoáng, nước nóng thiên nhiên.
* Khu vực đề nghị thăm dò: 
+ Khôngcótổchức,cán hânđang thăm dò hoặc khai thác khoáng sản hợp pháp và không thuộc khu vực cấm hoạt động khoáng sản, khu vực tạm thời cấm hoạt động khoáng sản, khu vực dự trữ khoáng sản quốc gia hoặc khu vực đang được điều tra cơ bản địa chất về khoáng sản cùng loại với khoáng sản xin cấp giấy phép thăm dò;
* Đề án thăm dò phù hợp với quy hoạch khoáng sản; đối với khoáng sản độc hại còn phải được Thủ tướng Chính phủ cho phép bằng văn bản;
* Có vốn chủ sở hữu ít nhất bằng 50% tổng vốn đầu tư thực hiện đề án thăm dò khoáng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2026-05-26T19:17:34Z</dcterms:created>
  <dc:creator>Apache POI</dc:creator>
</cp:coreProperties>
</file>