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1.002010.000.00.00.H36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tổ chức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hành nghề luật sư đăng ký hoạt động tại Sở Tư pháp ở địa phương nơi có Đoàn Luật sư mà Trưởng văn phòng luật sư hoặc Giám đốc công ty luật là thành viên. Công ty luật do luật sư ở các Đoàn Luật sư khác nhau cùng tham gia thành lập thì đăng ký hoạt động tại Sở Tư pháp ở địa phương nơi có trụ sở của công ty.
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((áp dụng mức phí 25.000 đồng/hồ sơ kể từ ngày 01/7/2025 đến hết ngày 31/12/2026 theo Thông tư số 64/2025/TT-BTC)</w:t>
              <w:br/>
              <w:t>File đính kèm: Thong tu 47-2019-TT-BTC.pdf</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((áp dụng mức phí 25.000 đồng/hồ sơ kể từ ngày 01/7/2025 đến hết ngày 31/12/2026 theo Thông tư số 64/2025/TT-BTC)</w:t>
              <w:br/>
              <w:t>File đính kèm: Thong tu 47-2019-TT-BTC.pdf</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((áp dụng mức phí 25.000 đồng/hồ sơ kể từ ngày 01/7/2025 đến hết ngày 31/12/2026 theo Thông tư số 64/2025/TT-BTC)</w:t>
              <w:br/>
              <w:t>File đính kèm: Thong tu 47-2019-TT-BTC.pdf</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hành nghề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tổ chức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02)</w:t>
            </w:r>
          </w:p>
        </w:tc>
        <w:tc>
          <w:p/>
          <w:p>
            <w:pPr>
              <w:spacing w:after="0" w:before="0" w:lineRule="auto" w:line="276"/>
              <w:jc w:val="left"/>
            </w:pPr>
            <w:r>
              <w:rPr>
                <w:rFonts w:ascii="Times New Roman" w:hAnsi="Times New Roman" w:cs="Times New Roman" w:eastAsia="Times New Roman"/>
                <w:b w:val="false"/>
                <w:sz w:val="26"/>
              </w:rPr>
              <w:t>2. TP-LS-02. De nghi dang ky VPLS, CTL 1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03)</w:t>
            </w:r>
          </w:p>
        </w:tc>
        <w:tc>
          <w:p/>
          <w:p>
            <w:pPr>
              <w:spacing w:after="0" w:before="0" w:lineRule="auto" w:line="276"/>
              <w:jc w:val="left"/>
            </w:pPr>
            <w:r>
              <w:rPr>
                <w:rFonts w:ascii="Times New Roman" w:hAnsi="Times New Roman" w:cs="Times New Roman" w:eastAsia="Times New Roman"/>
                <w:b w:val="false"/>
                <w:sz w:val="26"/>
              </w:rPr>
              <w:t>3. TP-LS-03. De nghi dang ky CTL hop danh, 2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02/2015/TT-BTP</w:t>
            </w:r>
          </w:p>
        </w:tc>
        <w:tc>
          <w:p/>
          <w:p>
            <w:pPr>
              <w:spacing w:after="0" w:before="0" w:lineRule="auto" w:line="276"/>
              <w:jc w:val="left"/>
            </w:pPr>
            <w:r>
              <w:rPr>
                <w:rFonts w:ascii="Times New Roman" w:hAnsi="Times New Roman" w:cs="Times New Roman" w:eastAsia="Times New Roman"/>
                <w:b w:val="false"/>
                <w:sz w:val="26"/>
              </w:rPr>
              <w:t>Thông tư 02/2015/TT-BTP</w:t>
            </w:r>
          </w:p>
        </w:tc>
        <w:tc>
          <w:p/>
          <w:p>
            <w:pPr>
              <w:spacing w:after="0" w:before="0" w:lineRule="auto" w:line="276"/>
              <w:jc w:val="left"/>
            </w:pPr>
            <w:r>
              <w:rPr>
                <w:rFonts w:ascii="Times New Roman" w:hAnsi="Times New Roman" w:cs="Times New Roman" w:eastAsia="Times New Roman"/>
                <w:b w:val="false"/>
                <w:sz w:val="26"/>
              </w:rPr>
              <w:t>16-01-2015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tổ chức hành nghề luật sư:
- Luật sư thành lập hoặc tham gia thành lập tổ chức hành nghề luật sư phải có ít nhất hai năm hành nghề liên tục làm việc theo hợp đồng lao động cho tổ chức hành nghề luật sư hoặc hành nghề với tư cách cá nhân theo hợp đồng lao động cho cơ quan, tổ chức theo quy định của Luật này;
- Tổ chức hành nghề luật sư phải có trụ sở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2026-05-23T16:27:51Z</dcterms:created>
  <dc:creator>Apache POI</dc:creator>
</cp:coreProperties>
</file>