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thương nhân phải nộp 01 bộ hồ sơ trực tiếp hoặc qua đường bưu điện hoặc trực tuyến (nếu đủ điều kiện áp dụng) đến Ủy ban nhân dân cấp xã nơi thương nhân đặt trụ sở chính.
- Trong thời hạn 07 ngày làm việc kể từ ngày nhận đủ hồ sơ hợp lệ, Ủy ban nhân dân cấp xã xem xét và cấp sửa đổi, bổ sung giấy phép theo Mẫu số 06 ban hành kèm theo Nghị định số 105/2017/NĐ-CP. Trường hợp từ chối cấp sửa đổi, bổ sung phải trả lời bằng văn bản và nêu rõ lý do.
- Trường hợp chưa đủ hồ sơ hợp lệ, trong vòng 03 ngày làm việc kể từ ngày tiếp nhận hồ sơ, Ủy ban nhân dân cấp xã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 (Nếu có thẩm định))</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 (Nếu có thẩm định))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 (Nếu có thẩm định))</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 (Nếu có thẩm định))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 (Nếu có thẩm định))</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 (Nếu có thẩm định))</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01-07-2011</w:t>
            </w:r>
          </w:p>
        </w:tc>
        <w:tc>
          <w:p/>
        </w:tc>
      </w:tr>
      <w:tr>
        <w:tc>
          <w:p/>
          <w:p>
            <w:pPr>
              <w:spacing w:after="0" w:before="0" w:lineRule="auto" w:line="276"/>
              <w:jc w:val="left"/>
            </w:pPr>
            <w:r>
              <w:rPr>
                <w:rFonts w:ascii="Times New Roman" w:hAnsi="Times New Roman" w:cs="Times New Roman" w:eastAsia="Times New Roman"/>
                <w:b w:val="false"/>
                <w:sz w:val="26"/>
              </w:rPr>
              <w:t xml:space="preserve">15/2018/NĐ-CP </w:t>
            </w:r>
          </w:p>
        </w:tc>
        <w:tc>
          <w:p/>
          <w:p>
            <w:pPr>
              <w:spacing w:after="0" w:before="0" w:lineRule="auto" w:line="276"/>
              <w:jc w:val="left"/>
            </w:pPr>
            <w:r>
              <w:rPr>
                <w:rFonts w:ascii="Times New Roman" w:hAnsi="Times New Roman" w:cs="Times New Roman" w:eastAsia="Times New Roman"/>
                <w:b w:val="false"/>
                <w:sz w:val="26"/>
              </w:rPr>
              <w:t>Nghị định số 15/2018/NĐ-CP ngày 02/02/2018 của Chính phủ hướng dẫn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2026-05-25T21:19:14Z</dcterms:created>
  <dc:creator>Apache POI</dc:creator>
</cp:coreProperties>
</file>