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1.000593.000.00.00.H19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390/QĐ-UBND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đăng ký kết hôn lưu động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Hộ tịch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Công chức tư pháp - hộ tịch cấp xã được giao nhiệm vụ đăng ký kết hôn lưu động có trách nhiệm chuẩn bị đầy đủ các loại mẫu Tờ khai, giấy tờ hộ tịch và điều kiện cần thiết để thực hiện đăng ký lưu động.
- Tại địa điểm đăng ký kết hôn lưu động, công chức tư pháp - hộ tịch có trách nhiệm kiểm tra, xác minh về điều kiện kết hôn của các bên; hướng dẫn người dân điền đầy đủ thông tin trong Tờ khai đăng ký kết hôn. Nếu hồ sơ đầy đủ, hợp lệ, công chức tư pháp - hộ tịch tiếp nhận hồ sơ viết Phiếu tiếp nhận hồ sơ.
- Sau khi tiếp nhận hồ sơ, công chức tư pháp - hộ tịch báo cáo Chủ tịch Ủy ban nhân dân cấp xã. Trường hợp Chủ tịch Ủy ban nhân dân đồng ý giải quyết thì ký cấp 02 Giấy chứng nhận kết hôn cho người có yêu cầu. Công chức tư pháp - hộ tịch ghi nội dung đăng ký vào Sổ đăng ký kết hôn, hướng dẫn các bên kiểm tra nội dung Giấy chứng nhận kết hôn và Sổ đăng ký kết hôn, cùng các bên nam, nữ ký vào Sổ đăng ký kết hôn, Giấy chứng nhận kết hôn theo quy định; tiến hành trao Giấy chứng nhận kết hôn cho các bên tại địa điểm đăng ký lưu động. Tại mục “Ghi chú” trong Sổ đăng ký kết hôn ghi rõ “Đăng ký lưu động”.
- Trường hợp người yêu cầu không biết chữ thì công chức tư pháp - hộ tịch trực tiếp ghi Tờ khai, sau đó đọc cho người yêu cầu nghe lại nội dung và hướng dẫn người đó điểm chỉ vào Tờ khai. Khi trao Giấy chứng nhận kết hôn, công chức tư pháp - hộ tịch phải đọc lại nội dung Giấy chứng nhận kết hôn cho người yêu cầu nghe và hướng dẫn người đó điểm chỉ vào Sổ đăng ký kết hôn.
* Lưu ý: Người tiếp nhận hồ sơ thực hiện khai thác thông tin trong Cơ sở dữ liệu quốc gia về dân cư theo quy định pháp luật nếu người yêu cầu đăng ký hộ tịch đã cung cấp họ, chữ đệm, tên; ngày, tháng, năm sinh; số định danh cá nhân/thẻ căn cước công dân/thẻ căn cước/chứng minh nhân dân/căn cước điện tử. Trường hợp các thông tin cần khai thác không có trong Cơ sở dữ liệu quốc gia về dân cư thì đề nghị người yêu cầu kê khai đầy đủ.</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t>Phí : 0 Đồng</w:t>
              <w:t xml:space="preserve"> (không)</w:t>
            </w:r>
          </w:p>
        </w:tc>
        <w:tc>
          <w:p/>
          <w:p>
            <w:pPr>
              <w:spacing w:after="0" w:before="0" w:lineRule="auto" w:line="276"/>
              <w:jc w:val="left"/>
            </w:pPr>
            <w:r>
              <w:rPr>
                <w:rFonts w:ascii="Times New Roman" w:hAnsi="Times New Roman" w:cs="Times New Roman" w:eastAsia="Times New Roman"/>
                <w:b w:val="false"/>
                <w:sz w:val="26"/>
              </w:rPr>
              <w:t>- Công chức tư pháp - hộ tịch cấp xã được giao nhiệm vụ đăng ký kết hôn lưu động có trách nhiệm chuẩn bị đầy đủ các loại mẫu Tờ khai, giấy tờ hộ tịch và điều kiện cần thiết để thực hiện đăng ký lưu động.</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Giấy tờ phải nộp: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khai đăng ký kết hôn theo mẫu. Hai bên nam, nữ có thể khai chung vào một Tờ khai đăng ký kết hôn.</w:t>
            </w:r>
          </w:p>
        </w:tc>
        <w:tc>
          <w:p/>
          <w:p>
            <w:pPr>
              <w:spacing w:after="0" w:before="0" w:lineRule="auto" w:line="276"/>
              <w:jc w:val="left"/>
            </w:pPr>
            <w:r>
              <w:rPr>
                <w:rFonts w:ascii="Times New Roman" w:hAnsi="Times New Roman" w:cs="Times New Roman" w:eastAsia="Times New Roman"/>
                <w:b w:val="false"/>
                <w:sz w:val="26"/>
              </w:rPr>
              <w:t>2.TKngkkthn.doc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Giấy tờ phải xuất trình: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tờ có giá trị chứng minh thông tin về cư trú trong trường hợp cơ quan đăng ký hộ tịch không thể khai thác được thông tin về nơi cư trú của công dân theo các phương thức quy định tại khoản 2 Điều 14 Nghị định số 104/2022/NĐ-CP ngày 21/12/2022 của Chính phủ. Trường hợp các thông tin về giấy tờ chứng minh nơi cư trú đã được khai thác từ Cơ sở dữ liệu quốc gia về dân cư bằng các phương thức này thì người có yêu cầu không phải xuất trình (theo hình thức trực tiếp) hoặc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Hộ chiếu/Thẻ căn cước công dân/Thẻ căn cước/Căn cước điện tử/Giấy chứng nhận căn cước hoặc các giấy tờ khác có dán ảnh và thông tin cá nhân do cơ quan có thẩm quyền cấp, còn giá trị sử dụng (sau đây gọi tắt là giấy tờ tùy thân) để chứng minh về nhân thân khi làm thủ tục trực tiếp tại cơ quan đăng ký hộ tịch.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Trường hợp giấy tờ tùy thân sử dụng là: Hộ chiếu, Thẻ căn cước, Căn cước công dân, Giấy chứng nhận căn cước thì người có yêu cầu đăng ký hộ tịch chỉ cần cung cấp thông tin số định danh cá nhân hoặc thông tin về giấy tờ (số, ngày/tháng/năm cấp), cơ quan đăng ký hộ tịch có trách nhiệm tra cứu thông tin thông qua kết nối với Cơ sở dữ liệu hộ tịch điện tử, Cơ sở dữ liệu quốc gia về dân cư hoặc cơ sở dữ liệu khác có liên quan để đối chiếu, khai thác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không khai thác được thông tin hoặc thông tin khai thác được không đầy đủ, không chính xác thì cơ quan đăng ký hộ tịch yêu cầu người đi đăng ký hộ tịch xuất trình bản chính giấy tờ để chứng minh, đồng thời đề nghị người đi đăng ký hộ tịch cập nhật, điều chỉnh thông tin trong các cơ sở dữ liệu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Thực hiện đăng ký lưu động tại nhà riêng hoặc tại địa điểm tổ chức đăng ký lưu động</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kết hôn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60/2014/QH13</w:t>
            </w:r>
          </w:p>
        </w:tc>
        <w:tc>
          <w:p/>
          <w:p>
            <w:pPr>
              <w:spacing w:after="0" w:before="0" w:lineRule="auto" w:line="276"/>
              <w:jc w:val="left"/>
            </w:pPr>
            <w:r>
              <w:rPr>
                <w:rFonts w:ascii="Times New Roman" w:hAnsi="Times New Roman" w:cs="Times New Roman" w:eastAsia="Times New Roman"/>
                <w:b w:val="false"/>
                <w:sz w:val="26"/>
              </w:rPr>
              <w:t>Luật 60/2014/QH13</w:t>
            </w:r>
          </w:p>
        </w:tc>
        <w:tc>
          <w:p/>
          <w:p>
            <w:pPr>
              <w:spacing w:after="0" w:before="0" w:lineRule="auto" w:line="276"/>
              <w:jc w:val="left"/>
            </w:pPr>
            <w:r>
              <w:rPr>
                <w:rFonts w:ascii="Times New Roman" w:hAnsi="Times New Roman" w:cs="Times New Roman" w:eastAsia="Times New Roman"/>
                <w:b w:val="false"/>
                <w:sz w:val="26"/>
              </w:rPr>
              <w:t>20-11-2014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123/2015/NĐ-CP</w:t>
            </w:r>
          </w:p>
        </w:tc>
        <w:tc>
          <w:p/>
          <w:p>
            <w:pPr>
              <w:spacing w:after="0" w:before="0" w:lineRule="auto" w:line="276"/>
              <w:jc w:val="left"/>
            </w:pPr>
            <w:r>
              <w:rPr>
                <w:rFonts w:ascii="Times New Roman" w:hAnsi="Times New Roman" w:cs="Times New Roman" w:eastAsia="Times New Roman"/>
                <w:b w:val="false"/>
                <w:sz w:val="26"/>
              </w:rPr>
              <w:t>Nghị định 123/2015/NĐ-CP</w:t>
            </w:r>
          </w:p>
        </w:tc>
        <w:tc>
          <w:p/>
          <w:p>
            <w:pPr>
              <w:spacing w:after="0" w:before="0" w:lineRule="auto" w:line="276"/>
              <w:jc w:val="left"/>
            </w:pPr>
            <w:r>
              <w:rPr>
                <w:rFonts w:ascii="Times New Roman" w:hAnsi="Times New Roman" w:cs="Times New Roman" w:eastAsia="Times New Roman"/>
                <w:b w:val="false"/>
                <w:sz w:val="26"/>
              </w:rPr>
              <w:t>15-11-2015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52/2014/QH13</w:t>
            </w:r>
          </w:p>
        </w:tc>
        <w:tc>
          <w:p/>
          <w:p>
            <w:pPr>
              <w:spacing w:after="0" w:before="0" w:lineRule="auto" w:line="276"/>
              <w:jc w:val="left"/>
            </w:pPr>
            <w:r>
              <w:rPr>
                <w:rFonts w:ascii="Times New Roman" w:hAnsi="Times New Roman" w:cs="Times New Roman" w:eastAsia="Times New Roman"/>
                <w:b w:val="false"/>
                <w:sz w:val="26"/>
              </w:rPr>
              <w:t>Luật Hôn nhân và gia đình 52/2014/QH13</w:t>
            </w:r>
          </w:p>
        </w:tc>
        <w:tc>
          <w:p/>
          <w:p>
            <w:pPr>
              <w:spacing w:after="0" w:before="0" w:lineRule="auto" w:line="276"/>
              <w:jc w:val="left"/>
            </w:pPr>
            <w:r>
              <w:rPr>
                <w:rFonts w:ascii="Times New Roman" w:hAnsi="Times New Roman" w:cs="Times New Roman" w:eastAsia="Times New Roman"/>
                <w:b w:val="false"/>
                <w:sz w:val="26"/>
              </w:rPr>
              <w:t>19-06-2014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03/2020/TT-BTTTT</w:t>
            </w:r>
          </w:p>
        </w:tc>
        <w:tc>
          <w:p/>
          <w:p>
            <w:pPr>
              <w:spacing w:after="0" w:before="0" w:lineRule="auto" w:line="276"/>
              <w:jc w:val="left"/>
            </w:pPr>
            <w:r>
              <w:rPr>
                <w:rFonts w:ascii="Times New Roman" w:hAnsi="Times New Roman" w:cs="Times New Roman" w:eastAsia="Times New Roman"/>
                <w:b w:val="false"/>
                <w:sz w:val="26"/>
              </w:rPr>
              <w:t>Thông tư số 03/2020/TT-BTTTT của Bộ Thông tin và Truyền thông: Quy định về lập đề cương và dự toán chi tiết đối với hoạt động ứng dụng công nghệ thông tin sử dụng kinh phí chi thường xuyên thuộc nguồn vốn ngân sách nhà nước</w:t>
            </w:r>
          </w:p>
        </w:tc>
        <w:tc>
          <w:p/>
          <w:p>
            <w:pPr>
              <w:spacing w:after="0" w:before="0" w:lineRule="auto" w:line="276"/>
              <w:jc w:val="left"/>
            </w:pPr>
            <w:r>
              <w:rPr>
                <w:rFonts w:ascii="Times New Roman" w:hAnsi="Times New Roman" w:cs="Times New Roman" w:eastAsia="Times New Roman"/>
                <w:b w:val="false"/>
                <w:sz w:val="26"/>
              </w:rPr>
              <w:t>24-02-2020</w:t>
            </w:r>
          </w:p>
        </w:tc>
        <w:tc>
          <w:p/>
          <w:p>
            <w:pPr>
              <w:spacing w:after="0" w:before="0" w:lineRule="auto" w:line="276"/>
              <w:jc w:val="left"/>
            </w:pPr>
            <w:r>
              <w:rPr>
                <w:rFonts w:ascii="Times New Roman" w:hAnsi="Times New Roman" w:cs="Times New Roman" w:eastAsia="Times New Roman"/>
                <w:b w:val="false"/>
                <w:sz w:val="26"/>
              </w:rPr>
              <w:t>Bộ Khoa học và Công nghệ ( Bộ TTTT cũ)</w:t>
            </w:r>
          </w:p>
        </w:tc>
      </w:tr>
      <w:tr>
        <w:tc>
          <w:p/>
          <w:p>
            <w:pPr>
              <w:spacing w:after="0" w:before="0" w:lineRule="auto" w:line="276"/>
              <w:jc w:val="left"/>
            </w:pPr>
            <w:r>
              <w:rPr>
                <w:rFonts w:ascii="Times New Roman" w:hAnsi="Times New Roman" w:cs="Times New Roman" w:eastAsia="Times New Roman"/>
                <w:b w:val="false"/>
                <w:sz w:val="26"/>
              </w:rPr>
              <w:t>04/2020/TT-BTP</w:t>
            </w:r>
          </w:p>
        </w:tc>
        <w:tc>
          <w:p/>
          <w:p>
            <w:pPr>
              <w:spacing w:after="0" w:before="0" w:lineRule="auto" w:line="276"/>
              <w:jc w:val="left"/>
            </w:pPr>
            <w:r>
              <w:rPr>
                <w:rFonts w:ascii="Times New Roman" w:hAnsi="Times New Roman" w:cs="Times New Roman" w:eastAsia="Times New Roman"/>
                <w:b w:val="false"/>
                <w:sz w:val="26"/>
              </w:rPr>
              <w:t>Thông tư 04/2020/TT-BTP</w:t>
            </w:r>
          </w:p>
        </w:tc>
        <w:tc>
          <w:p/>
          <w:p>
            <w:pPr>
              <w:spacing w:after="0" w:before="0" w:lineRule="auto" w:line="276"/>
              <w:jc w:val="left"/>
            </w:pPr>
            <w:r>
              <w:rPr>
                <w:rFonts w:ascii="Times New Roman" w:hAnsi="Times New Roman" w:cs="Times New Roman" w:eastAsia="Times New Roman"/>
                <w:b w:val="false"/>
                <w:sz w:val="26"/>
              </w:rPr>
              <w:t>28-05-2020</w:t>
            </w:r>
          </w:p>
        </w:tc>
        <w:tc>
          <w:p/>
        </w:tc>
      </w:tr>
      <w:tr>
        <w:tc>
          <w:p/>
          <w:p>
            <w:pPr>
              <w:spacing w:after="0" w:before="0" w:lineRule="auto" w:line="276"/>
              <w:jc w:val="left"/>
            </w:pPr>
            <w:r>
              <w:rPr>
                <w:rFonts w:ascii="Times New Roman" w:hAnsi="Times New Roman" w:cs="Times New Roman" w:eastAsia="Times New Roman"/>
                <w:b w:val="false"/>
                <w:sz w:val="26"/>
              </w:rPr>
              <w:t>106/2021/TT-BTC</w:t>
            </w:r>
          </w:p>
        </w:tc>
        <w:tc>
          <w:p/>
          <w:p>
            <w:pPr>
              <w:spacing w:after="0" w:before="0" w:lineRule="auto" w:line="276"/>
              <w:jc w:val="left"/>
            </w:pPr>
            <w:r>
              <w:rPr>
                <w:rFonts w:ascii="Times New Roman" w:hAnsi="Times New Roman" w:cs="Times New Roman" w:eastAsia="Times New Roman"/>
                <w:b w:val="false"/>
                <w:sz w:val="26"/>
              </w:rPr>
              <w:t>Thông tư 106/2021/TT-BTC</w:t>
            </w:r>
          </w:p>
        </w:tc>
        <w:tc>
          <w:p/>
          <w:p>
            <w:pPr>
              <w:spacing w:after="0" w:before="0" w:lineRule="auto" w:line="276"/>
              <w:jc w:val="left"/>
            </w:pPr>
            <w:r>
              <w:rPr>
                <w:rFonts w:ascii="Times New Roman" w:hAnsi="Times New Roman" w:cs="Times New Roman" w:eastAsia="Times New Roman"/>
                <w:b w:val="false"/>
                <w:sz w:val="26"/>
              </w:rPr>
              <w:t>26-11-2021</w:t>
            </w:r>
          </w:p>
        </w:tc>
        <w:tc>
          <w:p/>
        </w:tc>
      </w:tr>
      <w:tr>
        <w:tc>
          <w:p/>
          <w:p>
            <w:pPr>
              <w:spacing w:after="0" w:before="0" w:lineRule="auto" w:line="276"/>
              <w:jc w:val="left"/>
            </w:pPr>
            <w:r>
              <w:rPr>
                <w:rFonts w:ascii="Times New Roman" w:hAnsi="Times New Roman" w:cs="Times New Roman" w:eastAsia="Times New Roman"/>
                <w:b w:val="false"/>
                <w:sz w:val="26"/>
              </w:rPr>
              <w:t>85/2019/TT-BTC</w:t>
            </w:r>
          </w:p>
        </w:tc>
        <w:tc>
          <w:p/>
          <w:p>
            <w:pPr>
              <w:spacing w:after="0" w:before="0" w:lineRule="auto" w:line="276"/>
              <w:jc w:val="left"/>
            </w:pPr>
            <w:r>
              <w:rPr>
                <w:rFonts w:ascii="Times New Roman" w:hAnsi="Times New Roman" w:cs="Times New Roman" w:eastAsia="Times New Roman"/>
                <w:b w:val="false"/>
                <w:sz w:val="26"/>
              </w:rPr>
              <w:t>Thông tư 85/2019/TT-BTC</w:t>
            </w:r>
          </w:p>
        </w:tc>
        <w:tc>
          <w:p/>
          <w:p>
            <w:pPr>
              <w:spacing w:after="0" w:before="0" w:lineRule="auto" w:line="276"/>
              <w:jc w:val="left"/>
            </w:pPr>
            <w:r>
              <w:rPr>
                <w:rFonts w:ascii="Times New Roman" w:hAnsi="Times New Roman" w:cs="Times New Roman" w:eastAsia="Times New Roman"/>
                <w:b w:val="false"/>
                <w:sz w:val="26"/>
              </w:rPr>
              <w:t>29-11-2019</w:t>
            </w:r>
          </w:p>
        </w:tc>
        <w:tc>
          <w:p/>
        </w:tc>
      </w:tr>
      <w:tr>
        <w:tc>
          <w:p/>
          <w:p>
            <w:pPr>
              <w:spacing w:after="0" w:before="0" w:lineRule="auto" w:line="276"/>
              <w:jc w:val="left"/>
            </w:pPr>
            <w:r>
              <w:rPr>
                <w:rFonts w:ascii="Times New Roman" w:hAnsi="Times New Roman" w:cs="Times New Roman" w:eastAsia="Times New Roman"/>
                <w:b w:val="false"/>
                <w:sz w:val="26"/>
              </w:rPr>
              <w:t>03/2023/TT-BTP</w:t>
            </w:r>
          </w:p>
        </w:tc>
        <w:tc>
          <w:p/>
          <w:p>
            <w:pPr>
              <w:spacing w:after="0" w:before="0" w:lineRule="auto" w:line="276"/>
              <w:jc w:val="left"/>
            </w:pPr>
            <w:r>
              <w:rPr>
                <w:rFonts w:ascii="Times New Roman" w:hAnsi="Times New Roman" w:cs="Times New Roman" w:eastAsia="Times New Roman"/>
                <w:b w:val="false"/>
                <w:sz w:val="26"/>
              </w:rPr>
              <w:t>Thông tư 03/2023/TT-BTP sửa đổi, bổ sung một số nội dung của Thông tư số 01/2022/TT-BTP ngày 04/01/2022 của Bộ trưởng Bộ Tư pháp quy định chi tiết một số điều và biện pháp thi hành Nghị định số 87/2020/NĐ-CP ngày 28/7/2020 của Chính phủ quy định về Cơ sở dữ liệu hộ tịch điện tử, đăng ký hộ tịch trực tuyến</w:t>
            </w:r>
          </w:p>
        </w:tc>
        <w:tc>
          <w:p/>
          <w:p>
            <w:pPr>
              <w:spacing w:after="0" w:before="0" w:lineRule="auto" w:line="276"/>
              <w:jc w:val="left"/>
            </w:pPr>
            <w:r>
              <w:rPr>
                <w:rFonts w:ascii="Times New Roman" w:hAnsi="Times New Roman" w:cs="Times New Roman" w:eastAsia="Times New Roman"/>
                <w:b w:val="false"/>
                <w:sz w:val="26"/>
              </w:rPr>
              <w:t>02-08-2023</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04/2024/TT-BTP</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02/2020/TT-BTP ngày 08/4/2020 của Bộ trưởng Bộ Tư pháp ban hành, hướng dẫn sử dụng, quản lý mẫu sổ quốc tịch và mẫu giấy tờ về quốc tịch và Thông tư số 04/2020/TT-BTP ngày 28/5/2020 của Bộ trưởng Bộ Tư pháp quy định chi tiết thi hành một số điều của Luật Hộ tịch và Nghị định  số 123/2015/NĐ-CP ngày 15/11/2015 của Chính phủ 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06-06-2024</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07/2025/NĐ-CP</w:t>
            </w:r>
          </w:p>
        </w:tc>
        <w:tc>
          <w:p/>
          <w:p>
            <w:pPr>
              <w:spacing w:after="0" w:before="0" w:lineRule="auto" w:line="276"/>
              <w:jc w:val="left"/>
            </w:pPr>
            <w:r>
              <w:rPr>
                <w:rFonts w:ascii="Times New Roman" w:hAnsi="Times New Roman" w:cs="Times New Roman" w:eastAsia="Times New Roman"/>
                <w:b w:val="false"/>
                <w:sz w:val="26"/>
              </w:rPr>
              <w:t>Nghị định số 07/2025/NĐ-CP ngày 09/01/2025 của Chính phủ sửa đổi, bổ sung một số điều của các Nghị định trong lĩnh vực hộ tịch, quốc tịch, chứng thực.</w:t>
            </w:r>
          </w:p>
        </w:tc>
        <w:tc>
          <w:p/>
          <w:p>
            <w:pPr>
              <w:spacing w:after="0" w:before="0" w:lineRule="auto" w:line="276"/>
              <w:jc w:val="left"/>
            </w:pPr>
            <w:r>
              <w:rPr>
                <w:rFonts w:ascii="Times New Roman" w:hAnsi="Times New Roman" w:cs="Times New Roman" w:eastAsia="Times New Roman"/>
                <w:b w:val="false"/>
                <w:sz w:val="26"/>
              </w:rPr>
              <w:t>09-01-2025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120/2025/NĐ-CP</w:t>
            </w:r>
          </w:p>
        </w:tc>
        <w:tc>
          <w:p/>
          <w:p>
            <w:pPr>
              <w:spacing w:after="0" w:before="0" w:lineRule="auto" w:line="276"/>
              <w:jc w:val="left"/>
            </w:pPr>
            <w:r>
              <w:rPr>
                <w:rFonts w:ascii="Times New Roman" w:hAnsi="Times New Roman" w:cs="Times New Roman" w:eastAsia="Times New Roman"/>
                <w:b w:val="false"/>
                <w:sz w:val="26"/>
              </w:rPr>
              <w:t>Nghị định số 120/2025/NĐ-CP ngày 11/6/2025 của Chính phủ quy định về phân định thẩm quyền của chính quyền địa phương 02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08/2025/TT-BTP</w:t>
            </w:r>
          </w:p>
        </w:tc>
        <w:tc>
          <w:p/>
          <w:p>
            <w:pPr>
              <w:spacing w:after="0" w:before="0" w:lineRule="auto" w:line="276"/>
              <w:jc w:val="left"/>
            </w:pPr>
            <w:r>
              <w:rPr>
                <w:rFonts w:ascii="Times New Roman" w:hAnsi="Times New Roman" w:cs="Times New Roman" w:eastAsia="Times New Roman"/>
                <w:b w:val="false"/>
                <w:sz w:val="26"/>
              </w:rPr>
              <w:t>Thông tư số 08/2025/TT-BTP ngày 12/6/2025 của Bộ trưởng Bộ Tư pháp quy định về phân định thẩm quyền của chính quyền địa phương 02 cấp và phân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12-06-2025</w:t>
            </w:r>
          </w:p>
        </w:tc>
        <w:tc>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15-11-2025</w:t>
            </w:r>
          </w:p>
        </w:tc>
        <w:tc>
          <w:p/>
          <w:p>
            <w:pPr>
              <w:spacing w:after="0" w:before="0" w:lineRule="auto" w:line="276"/>
              <w:jc w:val="left"/>
            </w:pPr>
            <w:r>
              <w:rPr>
                <w:rFonts w:ascii="Times New Roman" w:hAnsi="Times New Roman" w:cs="Times New Roman" w:eastAsia="Times New Roman"/>
                <w:b w:val="false"/>
                <w:sz w:val="26"/>
              </w:rPr>
              <w:t>Văn phòng Chính phủ</w:t>
            </w:r>
          </w:p>
        </w:tc>
      </w:tr>
      <w:tr>
        <w:tc>
          <w:p/>
          <w:p>
            <w:pPr>
              <w:spacing w:after="0" w:before="0" w:lineRule="auto" w:line="276"/>
              <w:jc w:val="left"/>
            </w:pPr>
            <w:r>
              <w:rPr>
                <w:rFonts w:ascii="Times New Roman" w:hAnsi="Times New Roman" w:cs="Times New Roman" w:eastAsia="Times New Roman"/>
                <w:b w:val="false"/>
                <w:sz w:val="26"/>
              </w:rPr>
              <w:t>18/2026/NĐ-CP</w:t>
            </w:r>
          </w:p>
        </w:tc>
        <w:tc>
          <w:p/>
          <w:p>
            <w:pPr>
              <w:spacing w:after="0" w:before="0" w:lineRule="auto" w:line="276"/>
              <w:jc w:val="left"/>
            </w:pPr>
            <w:r>
              <w:rPr>
                <w:rFonts w:ascii="Times New Roman" w:hAnsi="Times New Roman" w:cs="Times New Roman" w:eastAsia="Times New Roman"/>
                <w:b w:val="false"/>
                <w:sz w:val="26"/>
              </w:rPr>
              <w:t>Sửa đổi, bổ sung một số nghị định để cắt giảm, đơn giản hóa thủ tục hành chính, điều kiện kinh doanh thuộc phạm vi quản lý của Bộ Tư pháp</w:t>
            </w:r>
          </w:p>
        </w:tc>
        <w:tc>
          <w:p/>
          <w:p>
            <w:pPr>
              <w:spacing w:after="0" w:before="0" w:lineRule="auto" w:line="276"/>
              <w:jc w:val="left"/>
            </w:pPr>
            <w:r>
              <w:rPr>
                <w:rFonts w:ascii="Times New Roman" w:hAnsi="Times New Roman" w:cs="Times New Roman" w:eastAsia="Times New Roman"/>
                <w:b w:val="false"/>
                <w:sz w:val="26"/>
              </w:rPr>
              <w:t>14-01-2026</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Hai bên nam, nữ cùng thường trú trên địa bàn cấp xã mà một hoặc cả hai bên nam, nữ là người khuyết tật, ốm bệnh không thể đi đăng ký kết hôn được.
- Nam từ đủ 20 tuổi trở lên, nữ từ đủ 18 tuổi trở lên;
- Việc kết hôn do nam và nữ tự nguyện quyết định;
- Không bị mất năng lực hành vi dân sự;
- Việc kết hôn không thuộc một trong các trường hợp cấm kết hôn, gồm:
+ Kết hôn giả tạo;
+ Tảo hôn, cưỡng ép kết hôn, lừa dối kết hôn, cản trở kết hôn;
+ Người đang có vợ, có chồng mà kết hôn với người khác hoặc chưa có vợ, chưa có chồng mà kết hôn với người đang có chồng, có vợ;
+ Kết hôn giữa những người cùng dòng máu về trực hệ; giữa những người có họ trong phạm vi ba đời; giữa cha, mẹ nuôi với con nuôi; giữa người đã từng là cha, mẹ nuôi với con nuôi, cha chồng với con dâu, mẹ vợ với con rể, cha dượng với con riêng của vợ, mẹ kế với con riêng của chồng;
* Nhà nước không thừa nhận hôn nhân giữa những người cùng giới tính.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2026-05-25T21:22:29Z</dcterms:created>
  <dc:creator>Apache POI</dc:creator>
</cp:coreProperties>
</file>