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1.000656.000.00.00.H19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có yêu cầu đăng ký khai tử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khai tử trực tuyến cung cấp thông tin theo biểu mẫu điện tử tương tác đăng ký khai tử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tuyến).ngày trả kết quả qua thư điện tử hoặc gửi tin nhắn qua điện thoại di động cho người có yêu cầu (nếu người có yêu cầu lựa chọn hình thức nộp hồ sơ trực tuyến).
+ Nếu thấy hồ sơ đầy đủ, hợp lệ, đúng quy định, trường hợp tiếp nhận hồ sơ đăng ký khai tử theo hình thức trực tiếp, thì công chức tư pháp - hộ tịch thực hiện việc ghi vào Sổ đăng ký khai tử, cập nhật thông tin đăng ký khai tử và lưu chính thức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khai tử, cập nhật thông tin đăng ký khai tử và lưu chính thức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đối với trường hợp đăng ký khai tử đúng hạn, người thuộc gia đình có công với cách mạng; người thuộc hộ nghèo; người khuyết tật.)</w:t>
            </w:r>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10000 Đồng</w:t>
              <w:t xml:space="preserve"> (Đối với trường hợp đăng ký khai tử không đúng hạn: Nộp hồ sơ trực tiếp: lệ phí 10.000 đồng)</w:t>
            </w:r>
          </w:p>
        </w:tc>
        <w:tc>
          <w:p/>
          <w:p>
            <w:pPr>
              <w:spacing w:after="0" w:before="0" w:lineRule="auto" w:line="276"/>
              <w:jc w:val="left"/>
            </w:pPr>
            <w:r>
              <w:rPr>
                <w:rFonts w:ascii="Times New Roman" w:hAnsi="Times New Roman" w:cs="Times New Roman" w:eastAsia="Times New Roman"/>
                <w:b w:val="false"/>
                <w:sz w:val="26"/>
              </w:rPr>
              <w:t>- 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với trường hợp đăng ký khai tửh không đúng hạn: Nộp hồ sơ trực tuyến: lệ phí 0 đồng (được giảm 100%).)</w:t>
            </w:r>
          </w:p>
        </w:tc>
        <w:tc>
          <w:p/>
          <w:p>
            <w:pPr>
              <w:spacing w:after="0" w:before="0" w:lineRule="auto" w:line="276"/>
              <w:jc w:val="left"/>
            </w:pPr>
            <w:r>
              <w:rPr>
                <w:rFonts w:ascii="Times New Roman" w:hAnsi="Times New Roman" w:cs="Times New Roman" w:eastAsia="Times New Roman"/>
                <w:b w:val="false"/>
                <w:sz w:val="26"/>
              </w:rPr>
              <w:t>- 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đối với trường hợp đăng ký khai tử đúng hạn, người thuộc gia đình có công với cách mạng; người thuộc hộ nghèo; người khuyết tật.)</w:t>
            </w:r>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10000 Đồng</w:t>
              <w:t xml:space="preserve"> (Đối với trường hợp đăng ký khai tửh không đúng hạn: Nộp hồ sơ trực tiếp: lệ phí 10.000 đồng)</w:t>
            </w:r>
          </w:p>
        </w:tc>
        <w:tc>
          <w:p/>
          <w:p>
            <w:pPr>
              <w:spacing w:after="0" w:before="0" w:lineRule="auto" w:line="276"/>
              <w:jc w:val="left"/>
            </w:pPr>
            <w:r>
              <w:rPr>
                <w:rFonts w:ascii="Times New Roman" w:hAnsi="Times New Roman" w:cs="Times New Roman" w:eastAsia="Times New Roman"/>
                <w:b w:val="false"/>
                <w:sz w:val="26"/>
              </w:rPr>
              <w:t>- 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thời hạn 15 ngày kể từ ngày có người chết thì vợ, chồng hoặc con, cha, mẹ hoặc người thân thích khác của người chết có trách nhiệm đi đăng ký khai tử; trường hợp người chết không có người thân thích thì đại diện của cơ quan, tổ chức, cá nhân liên quan có trách nhiệm đi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2026-05-25T21:20:28Z</dcterms:created>
  <dc:creator>Apache POI</dc:creator>
</cp:coreProperties>
</file>