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1.004594.000.00.00.H19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nhận hạng cơ sở lưu trú du lịch: hạng 1 sao, 2 sao, 3 sao đối với khách sạn, biệt thự du lịch, căn hộ du lịch, tàu thủy lưu trú du lịch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kinh doanh dịch vụ lưu trú du lịch được tự nguyện đăng ký xếp hạng cơ sở lưu trú du lịch với cơ quan nhà nước có thẩm quyền.
- Tổ chức, cá nhân kinh doanh dịch vụ lưu trú du lịch nộp hồ sơ đến Sở Văn hóa, Thể thao và Du lịch. Trường hợp hồ sơ không hợp lệ, trong thời hạn 03 ngày làm việc kể từ ngày nhận được hồ sơ, Sở Văn hóa, Thể thao và Du lịch phải thông báo bằng văn bản và nêu rõ yêu cầu sửa đổi, bổ sung;
- Trong thời hạn 30 ngày kể từ ngày nhận được hồ sơ hợp lệ, Sở Văn hóa, Thể thao và Du lịch chủ trì, phối hợp với tổ chức xã hội - nghề nghiệp về du lịch thẩm định và ra quyết định công nhận hạng cơ sở lưu trú du lịch; trường hợp không công nhận,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(1.000.000 đồng/hồ sơ đề nghị công nhận hạng 1 sao, 2 sao)</w:t>
            </w:r>
          </w:p>
          <w:p>
            <w:pPr>
              <w:spacing w:after="0" w:before="0" w:lineRule="auto" w:line="276"/>
              <w:jc w:val="left"/>
            </w:pPr>
            <w:r>
              <w:rPr>
                <w:rFonts w:ascii="Times New Roman" w:hAnsi="Times New Roman" w:cs="Times New Roman" w:eastAsia="Times New Roman"/>
                <w:b w:val="false"/>
                <w:sz w:val="26"/>
              </w:rPr>
              <w:t>Phí : 1.400.000 Đồng</w:t>
              <w:t xml:space="preserve"> (1.400.000 đồng/hồ sơ đề nghị công nhận hạng 3 sao)</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hồ sơ hợp lệ, Sở Du lịch/Sở Văn hóa, Thể thao và Du lịch chủ trì, phối hợp với tổ chức xã hội - nghề nghiệp về du lịch thẩm định và ra quyết định công nhận hạng cơ sở lưu trú du lịch; trường hợp không công nhận, phải thông báo bằng văn bản và nêu rõ lý do.
1.000.000 đồng/hồ sơ đề nghị công nhận hạng 1 sao, 2 sao 
1.400.000 đồng/hồ sơ đề nghị công nhận hạng 3 sao
(Thông tư số 153/2025/TT-BTC ngày 31 tháng 12 năm 2025 của Bộ trưởng Bộ Tài chính quy định mức thu, chế độ thu, nộp một số khoản phí, lệ phí thuộc lĩnh vực văn hóa, thể thao và du lịch)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(1.000.000 đồng/hồ sơ đề nghị công nhận hạng 1 sao, 2 sao)</w:t>
            </w:r>
          </w:p>
          <w:p>
            <w:pPr>
              <w:spacing w:after="0" w:before="0" w:lineRule="auto" w:line="276"/>
              <w:jc w:val="left"/>
            </w:pPr>
            <w:r>
              <w:rPr>
                <w:rFonts w:ascii="Times New Roman" w:hAnsi="Times New Roman" w:cs="Times New Roman" w:eastAsia="Times New Roman"/>
                <w:b w:val="false"/>
                <w:sz w:val="26"/>
              </w:rPr>
              <w:t>Phí : 1.400.000 Đồng</w:t>
              <w:t xml:space="preserve"> (1.400.000 đồng/hồ sơ đề nghị công nhận hạng 3 sao)</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hồ sơ hợp lệ, Sở Du lịch/Sở Văn hóa, Thể thao và Du lịch chủ trì, phối hợp với tổ chức xã hội - nghề nghiệp về du lịch thẩm định và ra quyết định công nhận hạng cơ sở lưu trú du lịch; trường hợp không công nhận, phải thông báo bằng văn bản và nêu rõ lý do.
1.000.000 đồng/hồ sơ đề nghị công nhận hạng 1 sao, 2 sao 
1.400.000 đồng/hồ sơ đề nghị công nhận hạng 3 sao
(Thông tư số 153/2025/TT-BTC ngày 31 tháng 12 năm 2025 của Bộ trưởng Bộ Tài chính quy định mức thu, chế độ thu, nộp một số khoản phí, lệ phí thuộc lĩnh vực văn hóa, thể thao và du lịch)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(1.000.000 đồng/hồ sơ đề nghị công nhận hạng 1 sao, 2 sao)</w:t>
            </w:r>
          </w:p>
          <w:p>
            <w:pPr>
              <w:spacing w:after="0" w:before="0" w:lineRule="auto" w:line="276"/>
              <w:jc w:val="left"/>
            </w:pPr>
            <w:r>
              <w:rPr>
                <w:rFonts w:ascii="Times New Roman" w:hAnsi="Times New Roman" w:cs="Times New Roman" w:eastAsia="Times New Roman"/>
                <w:b w:val="false"/>
                <w:sz w:val="26"/>
              </w:rPr>
              <w:t>Phí : 1.400.000 Đồng</w:t>
              <w:t xml:space="preserve"> (1.400.000 đồng/hồ sơ đề nghị công nhận hạng 3 sao)</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hồ sơ hợp lệ, Sở Du lịch/Sở Văn hóa, Thể thao và Du lịch chủ trì, phối hợp với tổ chức xã hội - nghề nghiệp về du lịch thẩm định và ra quyết định công nhận hạng cơ sở lưu trú du lịch; trường hợp không công nhận, phải thông báo bằng văn bản và nêu rõ lý do.
1.000.000 đồng/hồ sơ đề nghị công nhận hạng 1 sao, 2 sao 
1.400.000 đồng/hồ sơ đề nghị công nhận hạng 3 sao
(Thông tư số 153/2025/TT-BTC ngày 31 tháng 12 năm 2025 của Bộ trưởng Bộ Tài chính quy định mức thu, chế độ thu, nộp một số khoản phí, lệ phí thuộc lĩnh vực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công nhận hạng cơ sở lưu trú du lịch (Mẫu số 07 Phụ lục II ban hành kèm theo Thông tư số 06/2017/TT-BVHTTDL ngày 15 tháng 12 năm 2017)</w:t>
            </w:r>
          </w:p>
        </w:tc>
        <w:tc>
          <w:p/>
          <w:p>
            <w:pPr>
              <w:spacing w:after="0" w:before="0" w:lineRule="auto" w:line="276"/>
              <w:jc w:val="left"/>
            </w:pPr>
            <w:r>
              <w:rPr>
                <w:rFonts w:ascii="Times New Roman" w:hAnsi="Times New Roman" w:cs="Times New Roman" w:eastAsia="Times New Roman"/>
                <w:b w:val="false"/>
                <w:sz w:val="26"/>
              </w:rPr>
              <w:t>Mẫu số 07.TT062017.docx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tự đánh giá chất lượng của cơ sở lưu trú du lịch theo quy định trong tiêu chuẩn quốc gia về xếp hạng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người quản lý và nhân viên trong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có chứng thực văn bằng, chứng chỉ, giấy chứng nhận bồi dưỡng nghiệp vụ và giấy chứng nhận thời gian làm việc trong lĩnh vực du lịch của người quản lý, trưởng bộ phận trong cơ sở lưu trú du lịch.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 Thể thao và Du lịch thành phố Đồng Nai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Văn hóa - Thể thao và Du lịch thành phố Đồng Nai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hồ sơ trực tuyến qua Cổng Dịch vụ công Quốc gia (địa chỉ:  https://dichvucong.gov.vn); nộp trực tiếp hoặc qua bưu điện đến Trung tâm Phục vụ Hành chính công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nhận hạng cơ sở lưu trú du lịch: hạng 1 sao, 2 sao, 3 sao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09/2017/QH14</w:t>
            </w:r>
          </w:p>
        </w:tc>
        <w:tc>
          <w:p/>
          <w:p>
            <w:pPr>
              <w:spacing w:after="0" w:before="0" w:lineRule="auto" w:line="276"/>
              <w:jc w:val="left"/>
            </w:pPr>
            <w:r>
              <w:rPr>
                <w:rFonts w:ascii="Times New Roman" w:hAnsi="Times New Roman" w:cs="Times New Roman" w:eastAsia="Times New Roman"/>
                <w:b w:val="false"/>
                <w:sz w:val="26"/>
              </w:rPr>
              <w:t>Luật 09/2017/QH14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34/2018/TT-BTC</w:t>
            </w:r>
          </w:p>
        </w:tc>
        <w:tc>
          <w:p/>
          <w:p>
            <w:pPr>
              <w:spacing w:after="0" w:before="0" w:lineRule="auto" w:line="276"/>
              <w:jc w:val="left"/>
            </w:pPr>
            <w:r>
              <w:rPr>
                <w:rFonts w:ascii="Times New Roman" w:hAnsi="Times New Roman" w:cs="Times New Roman" w:eastAsia="Times New Roman"/>
                <w:b w:val="false"/>
                <w:sz w:val="26"/>
              </w:rPr>
              <w:t>Thông tư 34/2018/TT-BTC</w:t>
            </w:r>
          </w:p>
        </w:tc>
        <w:tc>
          <w:p/>
          <w:p>
            <w:pPr>
              <w:spacing w:after="0" w:before="0" w:lineRule="auto" w:line="276"/>
              <w:jc w:val="left"/>
            </w:pPr>
            <w:r>
              <w:rPr>
                <w:rFonts w:ascii="Times New Roman" w:hAnsi="Times New Roman" w:cs="Times New Roman" w:eastAsia="Times New Roman"/>
                <w:b w:val="false"/>
                <w:sz w:val="26"/>
              </w:rPr>
              <w:t>30-03-2018</w:t>
            </w:r>
          </w:p>
        </w:tc>
        <w:tc>
          <w:p/>
          <w:p>
            <w:pPr>
              <w:spacing w:after="0" w:before="0" w:lineRule="auto" w:line="276"/>
              <w:jc w:val="left"/>
            </w:pPr>
            <w:r>
              <w:rPr>
                <w:rFonts w:ascii="Times New Roman" w:hAnsi="Times New Roman" w:cs="Times New Roman" w:eastAsia="Times New Roman"/>
                <w:b w:val="false"/>
                <w:sz w:val="26"/>
              </w:rPr>
              <w:t>Cục Quản lý, giám sát chính sách thuế, phí và lệ phí - Bộ tài chính</w:t>
            </w:r>
          </w:p>
        </w:tc>
      </w:tr>
      <w:tr>
        <w:tc>
          <w:p/>
          <w:p>
            <w:pPr>
              <w:spacing w:after="0" w:before="0" w:lineRule="auto" w:line="276"/>
              <w:jc w:val="left"/>
            </w:pPr>
            <w:r>
              <w:rPr>
                <w:rFonts w:ascii="Times New Roman" w:hAnsi="Times New Roman" w:cs="Times New Roman" w:eastAsia="Times New Roman"/>
                <w:b w:val="false"/>
                <w:sz w:val="26"/>
              </w:rPr>
              <w:t>153/TT-BTC</w:t>
            </w:r>
          </w:p>
        </w:tc>
        <w:tc>
          <w:p/>
          <w:p>
            <w:pPr>
              <w:spacing w:after="0" w:before="0" w:lineRule="auto" w:line="276"/>
              <w:jc w:val="left"/>
            </w:pPr>
            <w:r>
              <w:rPr>
                <w:rFonts w:ascii="Times New Roman" w:hAnsi="Times New Roman" w:cs="Times New Roman" w:eastAsia="Times New Roman"/>
                <w:b w:val="false"/>
                <w:sz w:val="26"/>
              </w:rPr>
              <w:t>Thông tư số 153/2025/TT-BTC ngày 31 tháng 12 năm 2025 của Bộ trưởng Bộ Tài chính quy định mức thu, chế độ thu, nộp một số khoản phí, lệ phí thuộc lĩnh vực văn hóa, thể thao, du lịch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2026-04-30T01:02:20Z</dcterms:created>
  <dc:creator>Apache POI</dc:creator>
</cp:coreProperties>
</file>