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
Tại địa điểm đăng ký hộ tịch lưu động, công chức tư pháp - hộ tịch hướng dẫn người yêu cầu điền đầy đủ thông tin trong Tờ khai đăng ký khai sinh; kiểm tra các giấy tờ làm cơ sở cho việc đăng ký khai sinh; viết Phiếu tiếp nhận hồ sơ.
- Sau khi tiếp nhận đủ hồ sơ, công chức tư pháp -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
Sau khi CSDLQGVDC trả về Số định danh cá nhân, công chức tư pháp - hộ tịch in Giấy khai sinh, trình Lãnh đạo UBND ký Giấy khai sinh để cấp cho người có yêu cầu.
- Công chức tư pháp - hộ tịch đem theo Giấy khai sinh và Sổ đăng ký khai sinh để trả kết quả cho người có yêu cầu tại địa điểm đăng ký lưu động; hướng dẫn người yêu cầu kiểm tra nội dung Giấy khai sinh và Sổ đăng ký khai sinh, ký, ghi rõ họ, tên trong Sổ đăng ký khai sinh; tại mục “Ghi chú” trong Sổ đăng ký khai sinh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trả kết quả đăng ký hộ tịch, công chức tư pháp - hộ tịch phải đọc lại nội dung Giấy khai sinh cho người yêu cầu nghe và hướng dẫn người đó điểm chỉ vào Sổ đăng ký khai sinh.</w:t>
      </w:r>
    </w:p>
    <w:p>
      <w:pPr>
        <w:spacing w:after="0" w:before="0" w:lineRule="auto" w:line="276"/>
        <w:jc w:val="both"/>
      </w:pPr>
      <w:r>
        <w:rPr>
          <w:rFonts w:ascii="Times New Roman" w:hAnsi="Times New Roman" w:cs="Times New Roman" w:eastAsia="Times New Roman"/>
          <w:b w:val="false"/>
          <w:sz w:val="26"/>
        </w:rPr>
        <w:t>* Lưu ý:
- Đối với việc xác định họ, dân tộc, đặt tên cho trẻ:
+ Việc xác định họ, dân tộc, đặt tên cho trẻ em phải phù hợp với pháp luật và yêu cầu giữ gìn bản sắc dân tộc, tập quán, truyền thống văn hóa tốt đẹp của Việt Nam; không đặt tên quá dài, khó sử dụng.
+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 Đối với trường hợp đăng ký khai sinh không đúng hạn: Lệ phí: 10.000 đồng.)</w:t>
            </w:r>
          </w:p>
        </w:tc>
        <w:tc>
          <w:p/>
          <w:p>
            <w:pPr>
              <w:spacing w:after="0" w:before="0" w:lineRule="auto" w:line="276"/>
              <w:jc w:val="left"/>
            </w:pPr>
            <w:r>
              <w:rPr>
                <w:rFonts w:ascii="Times New Roman" w:hAnsi="Times New Roman" w:cs="Times New Roman" w:eastAsia="Times New Roman"/>
                <w:b w:val="false"/>
                <w:sz w:val="26"/>
              </w:rPr>
              <w:t>- 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kết hôn nếu cha, mẹ đã đăng ký kết hôn. Trường hợp đã có thông tin về việc kết hôn của cha, mẹ trong CSDLHTĐT, CSDLQGVDC thì không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đăng ký lưu động tại nhà riêng hoặc tại địa điểm tổ chức đăng ký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sinh ra mà cha mẹ bị khuyết tật, ốm bệnh không thể đi đăng ký khai sinh cho con; cha mẹ bị bắt, tạm giam hoặc đang thi hành án phạt tù mà không còn ông bà nội, ngoại và người thân thích khác hoặc những người này không có điều kiện đi đăng ký khai sinh cho trẻ.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2026-05-25T21:27:29Z</dcterms:created>
  <dc:creator>Apache POI</dc:creator>
</cp:coreProperties>
</file>