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2.001009.000.00.00.H19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văn bản khai nhận di sản mà di sản là động sản, quyền sửa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bộ hồ sơ yêu cầu chứng thực.
+ Người thực hiện chứng thực (hoặc người tiếp nhận hồ sơ trong trường hợp tiếp nhận hồ sơ tại Bộ phận Một cửa) kiểm tra giấy tờ trong hồ sơ yêu cầu chứng thực, nếu đầy đủ, tại thời điểm chứng thực các bên tham gia văn bản khai nhận di sản tự nguyện, minh mẫn và nhận thức, làm chủ được hành vi của mình thì tiếp nhận hồ sơ, thực hiện chứng thực.
+ Người khai nhận di sản phải ký trước mặt người thực hiện chứng thực, nếu văn bản khai nhận di sản có từ hai trang trở lên thì phải ký vào từng trang. Trường hợp người yêu cầu chứng thực nộp hồ sơ tại Bộ phận Một cửa thì người khai nhận di sản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Bộ phận Một cửa thì người tiếp nhận hồ sơ ký vào từng trang của văn bản khai nhận di sản và ký vào dưới lời chứng theo mẫu quy định.
Người thực hiện chưng thực ký vào từng trang của văn bản khai nhận di sản (nếu hồ sơ không được tiếp nhận qua Bộ phận Một cửa), ký, ghi rõ họ tên, đóng dấu của cơ quan thực hiện chứng thực và ghi vào sổ chứng thực.
Đối với văn bản khai nhận có từ 02 (hai) trang trở lên, thì từng trang phải được đánh số thứ tự, có chữ ký của người yêu cầu chứng thực và người thực hiện chứng thực; số lượng trang và lời chứng được ghi tại trang cuối của văn bản thỏa thuận. Trường hợp văn bản khai nhận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trả.Người phiên dịch có trách nhiệm dịch đầy đủ, chính xác nội dung của văn bản khai nhận di sản, nội dung lời chứng cho người yêu cầu chứng thực và ký vào từng trang văn bản khai nhận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(50.000 đồng/văn bản)</w:t>
            </w:r>
          </w:p>
        </w:tc>
        <w:tc>
          <w:p/>
          <w:p>
            <w:pPr>
              <w:spacing w:after="0" w:before="0" w:lineRule="auto" w:line="276"/>
              <w:jc w:val="left"/>
            </w:pPr>
            <w:r>
              <w:rPr>
                <w:rFonts w:ascii="Times New Roman" w:hAnsi="Times New Roman" w:cs="Times New Roman" w:eastAsia="Times New Roman"/>
                <w:b w:val="false"/>
                <w:sz w:val="26"/>
              </w:rPr>
              <w:t>- Không quá 02 (hai) ngày làm việc, kể từ ngày nhận đủ hồ sơ hợp lệ. (Thời hạn giải quyết có thể kéo dài hơn theo thỏa thuận bằng văn bản với người yêu cầu chứng thực).
- Nộp hồ sơ qua đường bưu điện hoặc nộp trực tiếp tại Trung tâm phục vụ hành chính công của các xã, phường.
- Nộp hồ sơ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(50.000 đồng/văn bản)</w:t>
            </w:r>
          </w:p>
        </w:tc>
        <w:tc>
          <w:p/>
          <w:p>
            <w:pPr>
              <w:spacing w:after="0" w:before="0" w:lineRule="auto" w:line="276"/>
              <w:jc w:val="left"/>
            </w:pPr>
            <w:r>
              <w:rPr>
                <w:rFonts w:ascii="Times New Roman" w:hAnsi="Times New Roman" w:cs="Times New Roman" w:eastAsia="Times New Roman"/>
                <w:b w:val="false"/>
                <w:sz w:val="26"/>
              </w:rPr>
              <w:t>- Không quá 02 (hai) ngày làm việc, kể từ ngày nhận đủ hồ sơ hợp lệ. (Thời hạn giải quyết có thể kéo dài hơn theo thỏa thuận bằng văn bản với người yêu cầu chứng thực).
- Nộp hồ sơ qua đường bưu điện hoặc nộp trực tiếp tại Trung tâm phục vụ hành chính công của các xã, phường.
- Nộp hồ sơ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(50.000 đồng/văn bản)</w:t>
            </w:r>
          </w:p>
        </w:tc>
        <w:tc>
          <w:p/>
          <w:p>
            <w:pPr>
              <w:spacing w:after="0" w:before="0" w:lineRule="auto" w:line="276"/>
              <w:jc w:val="left"/>
            </w:pPr>
            <w:r>
              <w:rPr>
                <w:rFonts w:ascii="Times New Roman" w:hAnsi="Times New Roman" w:cs="Times New Roman" w:eastAsia="Times New Roman"/>
                <w:b w:val="false"/>
                <w:sz w:val="26"/>
              </w:rPr>
              <w:t>- Không quá 02 (hai) ngày làm việc, kể từ ngày nhận đủ hồ sơ hợp lệ. (Thời hạn giải quyết có thể kéo dài hơn theo thỏa thuận bằng văn bản với người yêu cầu chứng thực).
- Nộp hồ sơ qua đường bưu điện hoặc nộp trực tiếp tại Trung tâm phục vụ hành chính công của các xã, phường.
- Nộp hồ sơ trực tuyến trên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văn bản khai nhận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sở hữu, quyền sử dụng hoặc bản sao giấy tờ thay thế được pháp luật quy định đối với tài sản mà pháp luật quy định phải đăng ký quyền sở hữu, quyền sử dụng trong trường hợp văn bản khai nhận di sản liên quan đến tài sản đó (xuất trình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khai nhận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2026-05-25T21:14:30Z</dcterms:created>
  <dc:creator>Apache POI</dc:creator>
</cp:coreProperties>
</file>