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kết hôn đã được giải quyết tại cơ quan có thẩm quyền của nước ngoài (Sau đây gọi là ghi chú kết hôn) nộp hồ sơ ghi chú kết hôn tại Trung tâm Phục vụ hành chính công có thẩm quyền; nộp lệ phí nếu thuộc trường hợp phải nộp lệ phí ghi chú kết hôn, nộp phí cấp bản sao Trích lục ghi chú kết hôn nếu có yêu cầu cấp bản sao Trích lục ghi chú kết hôn.
- Nếu lựa chọn hình thức nộp hồ sơ trực tuyến, người yêu cầu ghi chú kết hôn truy cập Cổng dịch vụ công quốc gia , xác thực người dùng theo hướng dẫn, đăng nhập vào hệ thống, lựa chọn Ủy ban nhân dân cấp xã có thẩm quyền.
Người yêu cầu ghi chú kết hôn trực tuyến cung cấp thông tin theo mẫu hộ tịch điện tử tương tác ghi vào Sổ hộ tịch việc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chú kết hôn không bổ sung, hoàn thiện được hồ sơ thì cán bộ tiếp nhận hồ sơ báo cáo Lãnh đạo Trung tâm Phục vụ hành chính công có thông báo từ chối giải quyết yêu cầu ghi chú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kết hôn đủ điều kiện, không thuộc trường hợp từ chối ghi vào sổ việc kết hôn theo quy định, trường hợp tiếp nhận hồ sơ ghi chú kết hôn theo hình thức trực tiếp, thì công chức tư pháp - hộ tịch thực hiện ghi vào Sổ đăng ký kết hôn, cập nhật thông tin ghi chú kết hôn trên Phần mềm đăng ký, quản lý hộ tịch điện tử dùng chung.
Trường hợp tiếp nhận hồ sơ ghi chú kết hôn theo hình thức trực tuyến, công chức tư pháp - hộ tịch gửi lại biểu mẫu Trích lục ghi chú kết hôn điện tử với thông tin đầy đủ cho người yêu cầu qua thư điện tử hoặc thiết bị số.
Người yêu cầu có trách nhiệm kiểm tra tính chính xác, đầy đủ của các thông tin trên biểu mẫu Trích lục ghi chú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ghi chú kết hôn trên Phần mềm đăng ký, quản lý hộ tịch điện tử dùng chung.
- Công chức tư pháp - hộ tịch in Trích lục ghi chú kết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100000 Đồng</w:t>
              <w:t xml:space="preserve"> (Nộp hồ sơ trực tiếp: 100.000 đồng)</w:t>
            </w:r>
          </w:p>
          <w:p>
            <w:pPr>
              <w:spacing w:after="0" w:before="0" w:lineRule="auto" w:line="276"/>
              <w:jc w:val="left"/>
            </w:pPr>
            <w:r>
              <w:rPr>
                <w:rFonts w:ascii="Times New Roman" w:hAnsi="Times New Roman" w:cs="Times New Roman" w:eastAsia="Times New Roman"/>
                <w:b w:val="false"/>
                <w:sz w:val="26"/>
              </w:rPr>
              <w:t>Mức giá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tuyến: 50.000 đồng (được giảm 50%).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Lệ phí : 100000 Đồng</w:t>
              <w:t xml:space="preserve"> (Nộp hồ sơ trực tiếp: 100.000 đồng)</w:t>
            </w:r>
          </w:p>
          <w:p>
            <w:pPr>
              <w:spacing w:after="0" w:before="0" w:lineRule="auto" w:line="276"/>
              <w:jc w:val="left"/>
            </w:pPr>
            <w:r>
              <w:rPr>
                <w:rFonts w:ascii="Times New Roman" w:hAnsi="Times New Roman" w:cs="Times New Roman" w:eastAsia="Times New Roman"/>
                <w:b w:val="false"/>
                <w:sz w:val="26"/>
              </w:rPr>
              <w:t>Mức giá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2026-05-25T21:19:30Z</dcterms:created>
  <dc:creator>Apache POI</dc:creator>
</cp:coreProperties>
</file>