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 xác thực người dùng theo hướng dẫn, đăng nhập vào hệ thống, lựa chọn Ủy ban nhân dân cấp xã có thẩm quyền.
Người có yêu cầu đăng ký chấm dứt giám hộ trực tuyến cung cấp thông tin theo biểu mẫu điện tử tương tác đăng ký chấm dứt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chấm dứt giám hộ không bổ sung, hoàn thiện được hồ sơ thì báo cáo Lãnh đạo Trung tâm Phục vụ hành chính công có thông báo từ chối giải quyết yêu cầu đăng ký chấm dứt giám hộ.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làm công tác hộ tịch thực hiện việc ghi vào Sổ đăng ký chấm dứt giám hộ, cập nhật thông tin đăng ký chấm dứt giám hộ và lưu chính thức trên Phần mềm đăng ký, quản lý hộ tịch điện tử dùng chung.
Trường hợp tiếp nhận hồ sơ đăng ký chấm dứt giám hộ theo hình thức trực tuyến, công chức làm công tác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chấm dứt giám hộ, cập nhật thông tin đăng ký chấm dứt giám hộ và lưu chính thức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25000 Đồng</w:t>
              <w:t xml:space="preserve"> (Nộp hồ sơ trực tuyến: 25.000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33/2005/QH11	</w:t>
            </w:r>
          </w:p>
        </w:tc>
        <w:tc>
          <w:p/>
          <w:p>
            <w:pPr>
              <w:spacing w:after="0" w:before="0" w:lineRule="auto" w:line="276"/>
              <w:jc w:val="left"/>
            </w:pPr>
            <w:r>
              <w:rPr>
                <w:rFonts w:ascii="Times New Roman" w:hAnsi="Times New Roman" w:cs="Times New Roman" w:eastAsia="Times New Roman"/>
                <w:b w:val="false"/>
                <w:sz w:val="26"/>
              </w:rPr>
              <w:t>Bộ luật 33/2005/QH11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2026-05-25T21:31:21Z</dcterms:created>
  <dc:creator>Apache POI</dc:creator>
</cp:coreProperties>
</file>