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gửi Chủ tịch Ủy ban nhân dân cấp xã.</w:t>
      </w:r>
    </w:p>
    <w:p>
      <w:pPr>
        <w:spacing w:after="0" w:before="0" w:lineRule="auto" w:line="276"/>
        <w:jc w:val="both"/>
      </w:pPr>
      <w:r>
        <w:rPr>
          <w:rFonts w:ascii="Times New Roman" w:hAnsi="Times New Roman" w:cs="Times New Roman" w:eastAsia="Times New Roman"/>
          <w:b w:val="false"/>
          <w:sz w:val="26"/>
        </w:rPr>
        <w:t>- Bước 2: Trong thời hạn 10 ngày làm việc, kể từ ngày nhận được giấy tờ của đối tượng, Chủ tịch Ủy ban nhân dân cấp xã chỉ đạo tổ chức xem xét, thực hiện xác thực và chuẩn hóa thông tin liên quan của đối tượng với cơ sở dữ liệu quốc gia về dân cư, quyết định tiếp nhận đối tượng vào cơ sở trợ giúp xã hội thuộc phạm vi quản lý hoặc có văn bản đề nghị (gửi kèm theo giấy tờ liên quan của người đề nghị) gửi cơ sở trợ giúp xã hội thuộc phạm vi Ủy ban nhân dân cấp tỉnh quản lý.</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khi nhận được văn bản đề nghị của Chủ tịch Ủy ban nhân dân cấp xã, người đứng đầu cơ sở trợ giúp xã hội xem xét, quyết định tiếp nhận đối tượng vào nuôi dưỡng, chăm sóc tại cơ sở hoặc cung cấp dịch vụ chăm sóc tại cộng đồng.</w:t>
      </w:r>
    </w:p>
    <w:p>
      <w:pPr>
        <w:spacing w:after="0" w:before="0" w:lineRule="auto" w:line="276"/>
        <w:jc w:val="both"/>
      </w:pPr>
      <w:r>
        <w:rPr>
          <w:rFonts w:ascii="Times New Roman" w:hAnsi="Times New Roman" w:cs="Times New Roman" w:eastAsia="Times New Roman"/>
          <w:b w:val="false"/>
          <w:sz w:val="26"/>
        </w:rPr>
        <w:t>Trường hợp đối tượng không đủ điều kiện tiếp nhận nuôi dưỡng, chăm sóc trong cơ sở trợ giúp xã hội, cơ quan giải quyết thủ tục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2026-05-22T16:41:35Z</dcterms:created>
  <dc:creator>Apache POI</dc:creator>
</cp:coreProperties>
</file>