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2.000927.000.00.00.H19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lỗi sai sót trong giao dịch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Việc sửa lỗi sai sót trong khi ghi chép, đánh máy, in giao dịch đã được chứng thực được thực hiện theo thỏa thuận bằng văn bản của các bên tham gia giao dịch, nếu không làm ảnh hưởng đến quyền, nghĩa vụ của các bên và được thực hiện tại cơ quan đã chứng thực giao dịch.
+ Người thực hiện chứng thực gạch chân lỗi sai sót cần sửa, đóng dấu của cơ quan thực hiện chứng thực và ghi vào bên lề của giao dịch nội dung đã sửa, họ tên, chữ ký của người sửa, ngày tháng năm sửa.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t xml:space="preserve"> (: 25.000 đồng/hợp đồng, giao dịch.)</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t xml:space="preserve"> (: 25.000 đồng/hợp đồng, giao dịch.)</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t xml:space="preserve"> (: 25.000 đồng/hợp đồng, giao dịch.)</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thỏa thuận về việc sửa lỗi sai sót trong 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sửa lỗi sai sót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2026-05-25T21:15:40Z</dcterms:created>
  <dc:creator>Apache POI</dc:creator>
</cp:coreProperties>
</file>