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2.001646.000.00.00.H36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công nghiệp (quy mô dưới 3 triệu lít/năm)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sản xuất rượu công nghiệp nộp 01 bộ hồ sơ đề nghị cấp Giấy phép sản xuất rượu công nghiệp (quy mô dưới 3 triệu lít/năm) trực tiếp hoặc qua đường bưu điện hoặc trực tuyến (nếu đủ điều kiện áp dụng) cho Sở Công Thương;</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đủ hồ sơ hợp lệ, Sở Công Thương xem xét, thẩm định và cấp giấy phép cho thương nhân. Trường hợp từ chối cấp phải trả lời bằng văn bản và nêu rõ lý do. Trường hợp chưa đủ hồ sơ hợp lệ, trong vòng 03 ngày, làm việc kể từ ngày tiếp nhận hồ sơ, cơ quan cấp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2.200.000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2.200.000 Đồng</w:t>
            </w:r>
          </w:p>
        </w:tc>
        <w:tc>
          <w:p/>
          <w:p>
            <w:pPr>
              <w:spacing w:after="0" w:before="0" w:lineRule="auto" w:line="276"/>
              <w:jc w:val="left"/>
            </w:pPr>
            <w:r>
              <w:rPr>
                <w:rFonts w:ascii="Times New Roman" w:hAnsi="Times New Roman" w:cs="Times New Roman" w:eastAsia="Times New Roman"/>
                <w:b w:val="false"/>
                <w:sz w:val="26"/>
              </w:rPr>
              <w:t>Mức độ 3, nộp trực tuyến qua hệ thống dịch vụ hành chính công (nếu đủ điều kiện áp dụng),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2.200.000 Đồng</w:t>
            </w:r>
          </w:p>
        </w:tc>
        <w:tc>
          <w:p/>
          <w:p>
            <w:pPr>
              <w:spacing w:after="0" w:before="0" w:lineRule="auto" w:line="276"/>
              <w:jc w:val="left"/>
            </w:pPr>
            <w:r>
              <w:rPr>
                <w:rFonts w:ascii="Times New Roman" w:hAnsi="Times New Roman" w:cs="Times New Roman" w:eastAsia="Times New Roman"/>
                <w:b w:val="false"/>
                <w:sz w:val="26"/>
              </w:rPr>
              <w:t>Nộp qua bưu điện,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công nghiệp theo Mẫu số 01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hoặc bản sao một trong các giấy chứng nhận sau: Thực hành sản xuất tốt (GMP), Hệ thống phân tích mối nguy và điểm kiểm soát tới hạn (HACCP), Hệ thống quản lý an toàn thực phẩm (ISO 22000), Tiêu chuẩn thực phẩm quốc tế (EFS), Tiêu chuẩn toàn cầu về an toàn thực phẩm (BRC), Hệ thống an toàn thực phẩm (FSSC 22000).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báo cáo đánh giá tác động môi trường hoặc giấy xác nhận đăng ký kế hoạch bảo vệ môi trường hoặc giấy xác nhận đăng ký bản cam kết bảo vệ môi trường do cơ quan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doanh nghiệp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cấp, giấy chứng nhận chuyên môn và quyết định tuyển dụng hoặc hợp đồng lao động của cán bộ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công nghiệp (quy mô dưới 3 triệu lít/năm)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22/2018/TT-BTC</w:t>
            </w:r>
          </w:p>
        </w:tc>
        <w:tc>
          <w:p/>
          <w:p>
            <w:pPr>
              <w:spacing w:after="0" w:before="0" w:lineRule="auto" w:line="276"/>
              <w:jc w:val="left"/>
            </w:pPr>
            <w:r>
              <w:rPr>
                <w:rFonts w:ascii="Times New Roman" w:hAnsi="Times New Roman" w:cs="Times New Roman" w:eastAsia="Times New Roman"/>
                <w:b w:val="false"/>
                <w:sz w:val="26"/>
              </w:rPr>
              <w:t>Sửa đổi, bổ sung một số quy định mức thu, chế độ thu, nộp, quản lý và sử dụng phí thẩm định điều kiện kinh doanh để cấp Giấy phép sản xuất rượu, Giấy phép sản xuất thuốc lá</w:t>
            </w:r>
          </w:p>
        </w:tc>
        <w:tc>
          <w:p/>
          <w:p>
            <w:pPr>
              <w:spacing w:after="0" w:before="0" w:lineRule="auto" w:line="276"/>
              <w:jc w:val="left"/>
            </w:pPr>
            <w:r>
              <w:rPr>
                <w:rFonts w:ascii="Times New Roman" w:hAnsi="Times New Roman" w:cs="Times New Roman" w:eastAsia="Times New Roman"/>
                <w:b w:val="false"/>
                <w:sz w:val="26"/>
              </w:rPr>
              <w:t>22-02-2018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được thành lập theo quy định của pháp luật
- Có dây chuyền máy móc, thiết bị, quy trình công nghệ sản xuất rượu đáp ứng quy mô dự kiến sản xuất.
- Bảo đảm các điều kiện về an toàn thực phẩm theo quy định.
- Bảo đảm các điều kiện về bảo vệ môi trường theo quy định.
- Đáp ứng các quy định về ghi nhãn hàng hóa rượu.
- Có cán bộ kỹ thuật có trình độ, chuyên môn phù hợp với ngành, nghề sản xuất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2026-05-29T21:24:45Z</dcterms:created>
  <dc:creator>Apache POI</dc:creator>
</cp:coreProperties>
</file>