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2.000162.000.00.00.H19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1410/QĐ-UBND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bán lẻ sản phẩm thuốc lá gửi 01 bộ hồ sơ về Phòng Công Thương.
+ Trong thời hạn 06 ngày làm việc kể từ ngày nhận đủ hồ sơ hợp lệ, Phòng Công Thương xem xét và cấp sửa đổi, bổ sung Giấy phép bán lẻ sản phẩm thuốc lá.
+ Trường hợp thương nhân không đáp ứng được điều kiện theo quy định, Phòng Công Thương sẽ có văn bản trả lời từ chối cấp phép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400000 Đồng</w:t>
              <w:t xml:space="preserve"> (400.000 đồng/điểm kinh doanh/lần thẩm định: Đối với hộ kinh doanh trên địa bàn thành phố Long Khánh và thành phố Biên Hòa)</w:t>
            </w:r>
          </w:p>
          <w:p>
            <w:pPr>
              <w:spacing w:after="0" w:before="0" w:lineRule="auto" w:line="276"/>
              <w:jc w:val="left"/>
            </w:pPr>
            <w:r>
              <w:rPr>
                <w:rFonts w:ascii="Times New Roman" w:hAnsi="Times New Roman" w:cs="Times New Roman" w:eastAsia="Times New Roman"/>
                <w:b w:val="false"/>
                <w:sz w:val="26"/>
              </w:rPr>
              <w:t>Phí : 200000 Đồng</w:t>
              <w:t xml:space="preserve"> (200.000 đồng/điểm kinh doanh/lần thẩm định: Đối với hộ kinh doanh trên địa bàn các huyện)</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huyện.
- Nộp trực tuyến tại địa chỉ: dichvucong.dongnai.gov.vn hoặc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400000 Đồng</w:t>
              <w:t xml:space="preserve"> (400.000 đồng/điểm kinh doanh/lần thẩm định: Đối với hộ kinh doanh trên địa bàn thành phố Long Khánh và thành phố Biên Hòa)</w:t>
            </w:r>
          </w:p>
          <w:p>
            <w:pPr>
              <w:spacing w:after="0" w:before="0" w:lineRule="auto" w:line="276"/>
              <w:jc w:val="left"/>
            </w:pPr>
            <w:r>
              <w:rPr>
                <w:rFonts w:ascii="Times New Roman" w:hAnsi="Times New Roman" w:cs="Times New Roman" w:eastAsia="Times New Roman"/>
                <w:b w:val="false"/>
                <w:sz w:val="26"/>
              </w:rPr>
              <w:t>Phí : 200000 Đồng</w:t>
              <w:t xml:space="preserve"> (200.000 đồng/điểm kinh doanh/lần thẩm định: Đối với hộ kinh doanh trên địa bàn các huyện)</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huyện.
- Nộp trực tuyến tại địa chỉ: dichvucong.dongnai.gov.vn hoặc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400000 Đồng</w:t>
              <w:t xml:space="preserve"> (400.000 đồng/điểm kinh doanh/lần thẩm định: Đối với hộ kinh doanh trên địa bàn thành phố Long Khánh và thành phố Biên Hòa)</w:t>
            </w:r>
          </w:p>
          <w:p>
            <w:pPr>
              <w:spacing w:after="0" w:before="0" w:lineRule="auto" w:line="276"/>
              <w:jc w:val="left"/>
            </w:pPr>
            <w:r>
              <w:rPr>
                <w:rFonts w:ascii="Times New Roman" w:hAnsi="Times New Roman" w:cs="Times New Roman" w:eastAsia="Times New Roman"/>
                <w:b w:val="false"/>
                <w:sz w:val="26"/>
              </w:rPr>
              <w:t>Phí : 200000 Đồng</w:t>
              <w:t xml:space="preserve"> (200.000 đồng/điểm kinh doanh/lần thẩm định: Đối với hộ kinh doanh trên địa bàn các huyện)</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huyện.
- Nộp trực tuyến tại địa chỉ: dichvucong.dongnai.gov.vn hoặc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sửa đổi, bổ sung;</w:t>
            </w:r>
          </w:p>
        </w:tc>
        <w:tc>
          <w:p/>
          <w:p>
            <w:pPr>
              <w:spacing w:after="0" w:before="0" w:lineRule="auto" w:line="276"/>
              <w:jc w:val="left"/>
            </w:pPr>
            <w:r>
              <w:rPr>
                <w:rFonts w:ascii="Times New Roman" w:hAnsi="Times New Roman" w:cs="Times New Roman" w:eastAsia="Times New Roman"/>
                <w:b w:val="false"/>
                <w:sz w:val="26"/>
              </w:rPr>
              <w:t>PL46.docx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bán lẻ sản phẩm thuốc lá đã được cấp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 Phòng Kinh tế hạ tầng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kinh tế, Phòng Kinh tế hạ tầng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gửi qua bưu điện đến Bộ phận tiếp nhận và trả kết quả của UBND cấp huyện. - Nộp trực tuyến tại địa chỉ: dichvucong.dongnai.gov.vn hoặc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Sửa đổi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21/2013/TT-BCT</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67/2013/NĐ-CP ngày 27 tháng 6 năm 2013 của Chính phủ 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25-09-2013</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106/2017/NĐ-CP</w:t>
            </w:r>
          </w:p>
        </w:tc>
        <w:tc>
          <w:p/>
          <w:p>
            <w:pPr>
              <w:spacing w:after="0" w:before="0" w:lineRule="auto" w:line="276"/>
              <w:jc w:val="left"/>
            </w:pPr>
            <w:r>
              <w:rPr>
                <w:rFonts w:ascii="Times New Roman" w:hAnsi="Times New Roman" w:cs="Times New Roman" w:eastAsia="Times New Roman"/>
                <w:b w:val="false"/>
                <w:sz w:val="26"/>
              </w:rPr>
              <w:t>Nghị định 106/2017/NĐ-CP</w:t>
            </w:r>
          </w:p>
        </w:tc>
        <w:tc>
          <w:p/>
          <w:p>
            <w:pPr>
              <w:spacing w:after="0" w:before="0" w:lineRule="auto" w:line="276"/>
              <w:jc w:val="left"/>
            </w:pPr>
            <w:r>
              <w:rPr>
                <w:rFonts w:ascii="Times New Roman" w:hAnsi="Times New Roman" w:cs="Times New Roman" w:eastAsia="Times New Roman"/>
                <w:b w:val="false"/>
                <w:sz w:val="26"/>
              </w:rPr>
              <w:t>14-09-2017</w:t>
            </w:r>
          </w:p>
        </w:tc>
        <w:tc>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57/2018/TT-BCT</w:t>
            </w:r>
          </w:p>
        </w:tc>
        <w:tc>
          <w:p/>
          <w:p>
            <w:pPr>
              <w:spacing w:after="0" w:before="0" w:lineRule="auto" w:line="276"/>
              <w:jc w:val="left"/>
            </w:pPr>
            <w:r>
              <w:rPr>
                <w:rFonts w:ascii="Times New Roman" w:hAnsi="Times New Roman" w:cs="Times New Roman" w:eastAsia="Times New Roman"/>
                <w:b w:val="false"/>
                <w:sz w:val="26"/>
              </w:rPr>
              <w:t>Thông tư 57/2018/TT-BCT</w:t>
            </w:r>
          </w:p>
        </w:tc>
        <w:tc>
          <w:p/>
          <w:p>
            <w:pPr>
              <w:spacing w:after="0" w:before="0" w:lineRule="auto" w:line="276"/>
              <w:jc w:val="left"/>
            </w:pPr>
            <w:r>
              <w:rPr>
                <w:rFonts w:ascii="Times New Roman" w:hAnsi="Times New Roman" w:cs="Times New Roman" w:eastAsia="Times New Roman"/>
                <w:b w:val="false"/>
                <w:sz w:val="26"/>
              </w:rPr>
              <w:t>26-12-2018</w:t>
            </w:r>
          </w:p>
        </w:tc>
        <w:tc>
          <w:p/>
        </w:tc>
      </w:tr>
      <w:tr>
        <w:tc>
          <w:p/>
          <w:p>
            <w:pPr>
              <w:spacing w:after="0" w:before="0" w:lineRule="auto" w:line="276"/>
              <w:jc w:val="left"/>
            </w:pPr>
            <w:r>
              <w:rPr>
                <w:rFonts w:ascii="Times New Roman" w:hAnsi="Times New Roman" w:cs="Times New Roman" w:eastAsia="Times New Roman"/>
                <w:b w:val="false"/>
                <w:sz w:val="26"/>
              </w:rPr>
              <w:t>28/2019/TT-BCT</w:t>
            </w:r>
          </w:p>
        </w:tc>
        <w:tc>
          <w:p/>
          <w:p>
            <w:pPr>
              <w:spacing w:after="0" w:before="0" w:lineRule="auto" w:line="276"/>
              <w:jc w:val="left"/>
            </w:pPr>
            <w:r>
              <w:rPr>
                <w:rFonts w:ascii="Times New Roman" w:hAnsi="Times New Roman" w:cs="Times New Roman" w:eastAsia="Times New Roman"/>
                <w:b w:val="false"/>
                <w:sz w:val="26"/>
              </w:rPr>
              <w:t>Thông tư 28/2019/TT-BCT</w:t>
            </w:r>
          </w:p>
        </w:tc>
        <w:tc>
          <w:p/>
          <w:p>
            <w:pPr>
              <w:spacing w:after="0" w:before="0" w:lineRule="auto" w:line="276"/>
              <w:jc w:val="left"/>
            </w:pPr>
            <w:r>
              <w:rPr>
                <w:rFonts w:ascii="Times New Roman" w:hAnsi="Times New Roman" w:cs="Times New Roman" w:eastAsia="Times New Roman"/>
                <w:b w:val="false"/>
                <w:sz w:val="26"/>
              </w:rPr>
              <w:t>15-11-2019</w:t>
            </w:r>
          </w:p>
        </w:tc>
        <w:tc>
          <w:p/>
        </w:tc>
      </w:tr>
      <w:tr>
        <w:tc>
          <w:p/>
          <w:p>
            <w:pPr>
              <w:spacing w:after="0" w:before="0" w:lineRule="auto" w:line="276"/>
              <w:jc w:val="left"/>
            </w:pPr>
            <w:r>
              <w:rPr>
                <w:rFonts w:ascii="Times New Roman" w:hAnsi="Times New Roman" w:cs="Times New Roman" w:eastAsia="Times New Roman"/>
                <w:b w:val="false"/>
                <w:sz w:val="26"/>
              </w:rPr>
              <w:t>168/2016/TT-BTC</w:t>
            </w:r>
          </w:p>
        </w:tc>
        <w:tc>
          <w:p/>
          <w:p>
            <w:pPr>
              <w:spacing w:after="0" w:before="0" w:lineRule="auto" w:line="276"/>
              <w:jc w:val="left"/>
            </w:pPr>
            <w:r>
              <w:rPr>
                <w:rFonts w:ascii="Times New Roman" w:hAnsi="Times New Roman" w:cs="Times New Roman" w:eastAsia="Times New Roman"/>
                <w:b w:val="false"/>
                <w:sz w:val="26"/>
              </w:rPr>
              <w:t>Thông tư 168/2016/TT-BTC</w:t>
            </w:r>
          </w:p>
        </w:tc>
        <w:tc>
          <w:p/>
          <w:p>
            <w:pPr>
              <w:spacing w:after="0" w:before="0" w:lineRule="auto" w:line="276"/>
              <w:jc w:val="left"/>
            </w:pPr>
            <w:r>
              <w:rPr>
                <w:rFonts w:ascii="Times New Roman" w:hAnsi="Times New Roman" w:cs="Times New Roman" w:eastAsia="Times New Roman"/>
                <w:b w:val="false"/>
                <w:sz w:val="26"/>
              </w:rPr>
              <w:t>26-10-2016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Có thay đổi các nội dung của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2026-05-25T21:19:21Z</dcterms:created>
  <dc:creator>Apache POI</dc:creator>
</cp:coreProperties>
</file>