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1.000998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1781/QĐ-BCT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đủ điều kiện sản xuất tiền chất thuốc nổ</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Vật liệu nổ công nghiệp, tiền chất thuốc nổ</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Nộp hồ sơ trên Cổng dịch vụ công quốc gia, Hệ thống thông tin giải quyết thủ tục hành chính của Ủy ban nhân dân tỉnh hoặc gửi qua đường bưu chính về Ủy ban nhân dân cấp tỉnh; trường hợp trực tiếp nộp hồ sơ thì văn bản đề nghị bổ sung họ tên, số định danh cá nhân hoặc số hộ chiếu của người đến liên hệ.
- Trong thời hạn 05 ngày làm việc kể từ ngày nhận đủ hồ sơ, cơ quan có thẩm quyền cấp giấy chứng nhận đủ điều kiện sản xuất tiền chất thuốc nổ; trường hợp không cấp phải trả lời bằng văn bản và nêu rõ lý do.
- Ủy ban nhân dân cấp tỉnh có thẩm quyền cấp giấy chứng nhận đủ điều kiện sản xuất tiền chất thuốc nổ.</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cơ quan có thẩm quyền cấp giấy chứng nhận đủ điều kiện sản xuất tiền chất thuốc nổ; trường hợp không cấp phải trả lời bằng văn bản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cơ quan có thẩm quyền cấp giấy chứng nhận đủ điều kiện sản xuất tiền chất thuốc nổ; trường hợp không cấp phải trả lời bằng văn bản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cơ quan có thẩm quyền cấp giấy chứng nhận đủ điều kiện sản xuất tiền chất thuốc nổ; trường hợp không cấp phải trả lời bằng văn bản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theo quy định tại Mẫu số 01 Phụ lục III ban hành kèm theo Thông tư số 23/2024/TT-BCT</w:t>
            </w:r>
          </w:p>
        </w:tc>
        <w:tc>
          <w:p/>
          <w:p>
            <w:pPr>
              <w:spacing w:after="0" w:before="0" w:lineRule="auto" w:line="276"/>
              <w:jc w:val="left"/>
            </w:pPr>
            <w:r>
              <w:rPr>
                <w:rFonts w:ascii="Times New Roman" w:hAnsi="Times New Roman" w:cs="Times New Roman" w:eastAsia="Times New Roman"/>
                <w:b w:val="false"/>
                <w:sz w:val="26"/>
              </w:rPr>
              <w:t>MaucapcaplaicapmoiVLNCNvTCTN.docx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quyết định phê duyệt dự án đầu tư xây dựng công trình sản xuất tiền chất thuốc nổ theo quy định của pháp luật về quản lý, đầu tư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sản xuất vật liệu nổ công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42/2024/QH15</w:t>
            </w:r>
          </w:p>
        </w:tc>
        <w:tc>
          <w:p/>
          <w:p>
            <w:pPr>
              <w:spacing w:after="0" w:before="0" w:lineRule="auto" w:line="276"/>
              <w:jc w:val="left"/>
            </w:pPr>
            <w:r>
              <w:rPr>
                <w:rFonts w:ascii="Times New Roman" w:hAnsi="Times New Roman" w:cs="Times New Roman" w:eastAsia="Times New Roman"/>
                <w:b w:val="false"/>
                <w:sz w:val="26"/>
              </w:rPr>
              <w:t>Luật Quản lý, sử dụng vũ khí, vật liệu nổ và công cụ hỗ trợ</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Thông tư số 23/2024/TT-BCT</w:t>
            </w:r>
          </w:p>
        </w:tc>
        <w:tc>
          <w:p/>
          <w:p>
            <w:pPr>
              <w:spacing w:after="0" w:before="0" w:lineRule="auto" w:line="276"/>
              <w:jc w:val="left"/>
            </w:pPr>
            <w:r>
              <w:rPr>
                <w:rFonts w:ascii="Times New Roman" w:hAnsi="Times New Roman" w:cs="Times New Roman" w:eastAsia="Times New Roman"/>
                <w:b w:val="false"/>
                <w:sz w:val="26"/>
              </w:rPr>
              <w:t>Thông tư số 23/2024/TT-BCT</w:t>
            </w:r>
          </w:p>
        </w:tc>
        <w:tc>
          <w:p/>
          <w:p>
            <w:pPr>
              <w:spacing w:after="0" w:before="0" w:lineRule="auto" w:line="276"/>
              <w:jc w:val="left"/>
            </w:pPr>
            <w:r>
              <w:rPr>
                <w:rFonts w:ascii="Times New Roman" w:hAnsi="Times New Roman" w:cs="Times New Roman" w:eastAsia="Times New Roman"/>
                <w:b w:val="false"/>
                <w:sz w:val="26"/>
              </w:rPr>
              <w:t>07-11-2024</w:t>
            </w:r>
          </w:p>
        </w:tc>
        <w:tc>
          <w:p/>
        </w:tc>
      </w:tr>
      <w:tr>
        <w:tc>
          <w:p/>
          <w:p>
            <w:pPr>
              <w:spacing w:after="0" w:before="0" w:lineRule="auto" w:line="276"/>
              <w:jc w:val="left"/>
            </w:pPr>
            <w:r>
              <w:rPr>
                <w:rFonts w:ascii="Times New Roman" w:hAnsi="Times New Roman" w:cs="Times New Roman" w:eastAsia="Times New Roman"/>
                <w:b w:val="false"/>
                <w:sz w:val="26"/>
              </w:rPr>
              <w:t>38/2025/TT-BCT</w:t>
            </w:r>
          </w:p>
        </w:tc>
        <w:tc>
          <w:p/>
          <w:p>
            <w:pPr>
              <w:spacing w:after="0" w:before="0" w:lineRule="auto" w:line="276"/>
              <w:jc w:val="left"/>
            </w:pPr>
            <w:r>
              <w:rPr>
                <w:rFonts w:ascii="Times New Roman" w:hAnsi="Times New Roman" w:cs="Times New Roman" w:eastAsia="Times New Roman"/>
                <w:b w:val="false"/>
                <w:sz w:val="26"/>
              </w:rPr>
              <w:t>Sửa đổi, bổ sung một số quy định về phân cấp thực hiện thủ tục hành chính trong các lĩnh vực thuộc phạm vi quản lý của Bộ Công Thương</w:t>
            </w:r>
          </w:p>
        </w:tc>
        <w:tc>
          <w:p/>
          <w:p>
            <w:pPr>
              <w:spacing w:after="0" w:before="0" w:lineRule="auto" w:line="276"/>
              <w:jc w:val="left"/>
            </w:pPr>
            <w:r>
              <w:rPr>
                <w:rFonts w:ascii="Times New Roman" w:hAnsi="Times New Roman" w:cs="Times New Roman" w:eastAsia="Times New Roman"/>
                <w:b w:val="false"/>
                <w:sz w:val="26"/>
              </w:rPr>
              <w:t>19-06-2025</w:t>
            </w:r>
          </w:p>
        </w:tc>
        <w:tc>
          <w:p/>
          <w:p>
            <w:pPr>
              <w:spacing w:after="0" w:before="0" w:lineRule="auto" w:line="276"/>
              <w:jc w:val="left"/>
            </w:pPr>
            <w:r>
              <w:rPr>
                <w:rFonts w:ascii="Times New Roman" w:hAnsi="Times New Roman" w:cs="Times New Roman" w:eastAsia="Times New Roman"/>
                <w:b w:val="false"/>
                <w:sz w:val="26"/>
              </w:rPr>
              <w:t>Bộ Công thương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Do tổ chức, doanh nghiệp được thành lập theo quy định của pháp luật thực hiện;
+ Địa điểm cơ sở sản xuất tiền chất thuốc nổ phải bảo đảm điều kiện về an ninh, trật tự. Nhà xưởng, kho, công nghệ, thiết bị, phương tiện phục vụ sản xuất phải được thiết kế, xây dựng phù hợp với quy mô và đặc điểm nguyên liệu, sản phẩm tiền chất thuốc nổ; bảo đảm yêu cầu về an toàn, phòng cháy và chữa cháy, khoảng cách an toàn đối với công trình, đối tượng cần bảo vệ và bảo vệ môi trường theo quy định của pháp luật;
+ Có đủ phương tiện, thiết bị đo lường phù hợp để kiểm tra, giám sát các thông số kỹ thuật và phục vụ công tác kiểm tra chất lượng nguyên liệu trong quá trình sản xuất;
+ Chỉ được sản xuất, bán sản phẩm đúng chủng loại cho doanh nghiệp sản xuất vật liệu nổ công nghiệp, kinh doanh, sử dụng tiền chất thuốc nổ.</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2026-04-30T20:20:18Z</dcterms:created>
  <dc:creator>Apache POI</dc:creator>
</cp:coreProperties>
</file>