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đăng ký hộ kinh doanh bị mất, cháy, rách, nát hoặc bị tiêu hủy dưới hình thức khác, hộ kinh doanh gửi Giấy đề nghị cấp lại Giấy chứng nhận đăng ký hộ kinh doanh đến cơ quan đăng ký kinh doanh cấp huyện nơi đã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Cơ quan đăng ký kinh doanh cấp huyện xem xét cấp lại Giấy chứng nhận đăng ký hộ kinh doanh.</w:t>
      </w:r>
    </w:p>
    <w:p>
      <w:pPr>
        <w:spacing w:after="0" w:before="0" w:lineRule="auto" w:line="276"/>
        <w:jc w:val="both"/>
      </w:pPr>
      <w:r>
        <w:rPr>
          <w:rFonts w:ascii="Times New Roman" w:hAnsi="Times New Roman" w:cs="Times New Roman" w:eastAsia="Times New Roman"/>
          <w:b w:val="false"/>
          <w:sz w:val="26"/>
        </w:rPr>
        <w:t xml:space="preserve">- Trường hợp Giấy chứng nhận đăng ký hộ kinh doanh được cấp không đúng hồ sơ, trình tự, thủ tục theo quy định, cơ quan đăng ký kinh doanh cấp huyện gửi thông báo yêu cầu hộ kinh doanh hoàn chỉnh và nộp hồ sơ hợp lệ theo quy định. </w:t>
      </w:r>
    </w:p>
    <w:p>
      <w:pPr>
        <w:spacing w:after="0" w:before="0" w:lineRule="auto" w:line="276"/>
        <w:jc w:val="both"/>
      </w:pPr>
      <w:r>
        <w:rPr>
          <w:rFonts w:ascii="Times New Roman" w:hAnsi="Times New Roman" w:cs="Times New Roman" w:eastAsia="Times New Roman"/>
          <w:b w:val="false"/>
          <w:sz w:val="26"/>
        </w:rPr>
        <w:t>Cơ quan đăng ký kinh doanh cấp huyện thực hiện cấp lại Giấy chứng nhận đăng ký hộ kinh doanh khi nhận được hồ sơ hợp lệ của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01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	</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2026-05-27T19:37:17Z</dcterms:created>
  <dc:creator>Apache POI</dc:creator>
</cp:coreProperties>
</file>